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43314">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湖南省工业贸易学校2025年秋季至2026年春季教材采购项目</w:t>
      </w:r>
      <w:r>
        <w:rPr>
          <w:rFonts w:hint="eastAsia" w:ascii="黑体" w:hAnsi="黑体" w:eastAsia="黑体" w:cs="黑体"/>
          <w:color w:val="auto"/>
          <w:sz w:val="32"/>
          <w:szCs w:val="32"/>
          <w:highlight w:val="none"/>
          <w:lang w:val="en-US" w:eastAsia="zh-CN"/>
        </w:rPr>
        <w:t>招标公告</w:t>
      </w:r>
    </w:p>
    <w:p w14:paraId="0978BA7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湖南省工业贸易学校2025年秋季至2026年春季教材采购项目</w:t>
      </w:r>
      <w:r>
        <w:rPr>
          <w:rFonts w:hint="eastAsia" w:ascii="宋体" w:hAnsi="宋体"/>
          <w:color w:val="auto"/>
          <w:szCs w:val="21"/>
          <w:highlight w:val="none"/>
        </w:rPr>
        <w:t>(项目名称)进行公开招标采购，现邀请合格投标人参加投标。</w:t>
      </w:r>
    </w:p>
    <w:p w14:paraId="4F472244">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一、采购项目基本信息</w:t>
      </w:r>
    </w:p>
    <w:p w14:paraId="30E0F6F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1、采购项目名称：</w:t>
      </w:r>
      <w:r>
        <w:rPr>
          <w:rFonts w:hint="eastAsia" w:ascii="宋体" w:hAnsi="宋体"/>
          <w:color w:val="auto"/>
          <w:szCs w:val="21"/>
          <w:highlight w:val="none"/>
          <w:u w:val="single"/>
        </w:rPr>
        <w:t>湖南省工业贸易学校2025年秋季至2026年春季教材采购项目</w:t>
      </w:r>
    </w:p>
    <w:p w14:paraId="1B9C9064">
      <w:pPr>
        <w:adjustRightInd w:val="0"/>
        <w:snapToGrid w:val="0"/>
        <w:spacing w:line="360" w:lineRule="auto"/>
        <w:ind w:firstLine="420" w:firstLineChars="200"/>
        <w:rPr>
          <w:rFonts w:hint="eastAsia" w:ascii="宋体" w:hAnsi="宋体" w:eastAsia="宋体"/>
          <w:i/>
          <w:color w:val="auto"/>
          <w:szCs w:val="21"/>
          <w:highlight w:val="none"/>
          <w:lang w:eastAsia="zh-CN"/>
        </w:rPr>
      </w:pPr>
      <w:r>
        <w:rPr>
          <w:rFonts w:hint="eastAsia" w:ascii="宋体" w:hAnsi="宋体"/>
          <w:color w:val="auto"/>
          <w:szCs w:val="21"/>
          <w:highlight w:val="none"/>
        </w:rPr>
        <w:t>2、委托代理编号：</w:t>
      </w:r>
      <w:r>
        <w:rPr>
          <w:rFonts w:hint="eastAsia" w:ascii="宋体" w:hAnsi="宋体"/>
          <w:bCs/>
          <w:color w:val="auto"/>
          <w:szCs w:val="21"/>
          <w:highlight w:val="none"/>
          <w:u w:val="single"/>
          <w:lang w:eastAsia="zh-CN"/>
        </w:rPr>
        <w:t>TJGJCS2025-177</w:t>
      </w:r>
    </w:p>
    <w:p w14:paraId="589D2FD8">
      <w:pPr>
        <w:adjustRightInd w:val="0"/>
        <w:snapToGrid w:val="0"/>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3、采购项目预算（</w:t>
      </w:r>
      <w:r>
        <w:rPr>
          <w:rFonts w:hint="eastAsia" w:ascii="宋体" w:hAnsi="宋体"/>
          <w:color w:val="auto"/>
          <w:highlight w:val="none"/>
        </w:rPr>
        <w:t>最高限价</w:t>
      </w:r>
      <w:r>
        <w:rPr>
          <w:rFonts w:hint="eastAsia" w:ascii="宋体" w:hAnsi="宋体"/>
          <w:bCs/>
          <w:color w:val="auto"/>
          <w:szCs w:val="21"/>
          <w:highlight w:val="none"/>
        </w:rPr>
        <w:t>）：</w:t>
      </w:r>
      <w:r>
        <w:rPr>
          <w:rFonts w:hint="eastAsia" w:ascii="宋体" w:hAnsi="宋体"/>
          <w:bCs/>
          <w:color w:val="auto"/>
          <w:szCs w:val="21"/>
          <w:highlight w:val="none"/>
          <w:u w:val="single"/>
        </w:rPr>
        <w:t>人民币</w:t>
      </w:r>
      <w:bookmarkStart w:id="0" w:name="OLE_LINK5"/>
      <w:r>
        <w:rPr>
          <w:rFonts w:hint="eastAsia" w:ascii="宋体" w:hAnsi="宋体"/>
          <w:bCs/>
          <w:color w:val="auto"/>
          <w:szCs w:val="21"/>
          <w:highlight w:val="none"/>
          <w:u w:val="single"/>
        </w:rPr>
        <w:t>1980000.00元</w:t>
      </w:r>
      <w:bookmarkEnd w:id="0"/>
      <w:r>
        <w:rPr>
          <w:rFonts w:hint="eastAsia" w:ascii="宋体" w:hAnsi="宋体"/>
          <w:bCs/>
          <w:color w:val="auto"/>
          <w:szCs w:val="21"/>
          <w:highlight w:val="none"/>
          <w:u w:val="single"/>
        </w:rPr>
        <w:t xml:space="preserve">。 </w:t>
      </w:r>
    </w:p>
    <w:p w14:paraId="5E9C08D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4、是否专门面向中小企业采购：</w:t>
      </w:r>
      <w:r>
        <w:rPr>
          <w:rFonts w:hint="eastAsia" w:ascii="宋体" w:hAnsi="宋体"/>
          <w:bCs/>
          <w:color w:val="auto"/>
          <w:szCs w:val="21"/>
          <w:highlight w:val="none"/>
          <w:u w:val="single"/>
        </w:rPr>
        <w:t>否</w:t>
      </w:r>
    </w:p>
    <w:p w14:paraId="124FB23E">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bCs/>
          <w:color w:val="auto"/>
          <w:szCs w:val="21"/>
          <w:highlight w:val="none"/>
        </w:rPr>
        <w:t>本项目</w:t>
      </w:r>
      <w:r>
        <w:rPr>
          <w:rFonts w:hint="eastAsia" w:ascii="宋体" w:hAnsi="宋体"/>
          <w:color w:val="auto"/>
          <w:szCs w:val="21"/>
          <w:highlight w:val="none"/>
        </w:rPr>
        <w:t>对应的中小企业划分标准所属行业：</w:t>
      </w:r>
      <w:r>
        <w:rPr>
          <w:rFonts w:hint="eastAsia" w:ascii="宋体" w:hAnsi="宋体" w:eastAsia="宋体" w:cs="Times New Roman"/>
          <w:bCs/>
          <w:color w:val="auto"/>
          <w:szCs w:val="21"/>
          <w:highlight w:val="none"/>
          <w:u w:val="single"/>
          <w:lang w:val="en-US" w:eastAsia="zh-CN"/>
        </w:rPr>
        <w:t>批发业</w:t>
      </w:r>
    </w:p>
    <w:p w14:paraId="219A7912">
      <w:pPr>
        <w:adjustRightInd w:val="0"/>
        <w:snapToGri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5、评标方法：</w:t>
      </w:r>
      <w:r>
        <w:rPr>
          <w:rFonts w:hint="eastAsia" w:ascii="宋体" w:hAnsi="宋体"/>
          <w:iCs/>
          <w:color w:val="auto"/>
          <w:szCs w:val="21"/>
          <w:highlight w:val="none"/>
        </w:rPr>
        <w:t>综合评分法</w:t>
      </w:r>
    </w:p>
    <w:p w14:paraId="2B99737C">
      <w:pPr>
        <w:pStyle w:val="9"/>
        <w:rPr>
          <w:rFonts w:ascii="宋体" w:hAnsi="宋体"/>
          <w:color w:val="auto"/>
          <w:highlight w:val="none"/>
        </w:rPr>
      </w:pPr>
      <w:r>
        <w:rPr>
          <w:rFonts w:hint="eastAsia" w:ascii="宋体" w:hAnsi="宋体"/>
          <w:bCs/>
          <w:color w:val="auto"/>
          <w:highlight w:val="none"/>
        </w:rPr>
        <w:t>6、</w:t>
      </w:r>
      <w:r>
        <w:rPr>
          <w:rFonts w:hint="eastAsia" w:ascii="宋体" w:hAnsi="宋体"/>
          <w:color w:val="auto"/>
          <w:highlight w:val="none"/>
        </w:rPr>
        <w:t>本项目分阶段要求投标人提供以下保证：</w:t>
      </w:r>
    </w:p>
    <w:p w14:paraId="3F75A209">
      <w:pPr>
        <w:pStyle w:val="9"/>
        <w:spacing w:line="360" w:lineRule="auto"/>
        <w:rPr>
          <w:rFonts w:hint="eastAsia" w:ascii="宋体" w:hAnsi="宋体"/>
          <w:color w:val="auto"/>
          <w:highlight w:val="none"/>
          <w:u w:val="single"/>
        </w:rPr>
      </w:pPr>
      <w:r>
        <w:rPr>
          <w:rFonts w:hint="eastAsia" w:ascii="宋体" w:hAnsi="宋体"/>
          <w:color w:val="auto"/>
          <w:highlight w:val="none"/>
        </w:rPr>
        <w:t>投标保证金：</w:t>
      </w:r>
      <w:r>
        <w:rPr>
          <w:rFonts w:hint="eastAsia" w:ascii="宋体" w:hAnsi="宋体"/>
          <w:iCs/>
          <w:color w:val="auto"/>
          <w:highlight w:val="none"/>
          <w:u w:val="single"/>
        </w:rPr>
        <w:t>/</w:t>
      </w:r>
      <w:r>
        <w:rPr>
          <w:rFonts w:hint="eastAsia" w:ascii="宋体" w:hAnsi="宋体"/>
          <w:color w:val="auto"/>
          <w:highlight w:val="none"/>
        </w:rPr>
        <w:t>；</w:t>
      </w:r>
    </w:p>
    <w:p w14:paraId="30C6919D">
      <w:pPr>
        <w:pStyle w:val="9"/>
        <w:spacing w:line="360" w:lineRule="auto"/>
        <w:rPr>
          <w:rFonts w:hint="eastAsia" w:ascii="宋体" w:hAnsi="宋体"/>
          <w:iCs/>
          <w:color w:val="auto"/>
          <w:highlight w:val="none"/>
        </w:rPr>
      </w:pPr>
      <w:r>
        <w:rPr>
          <w:rFonts w:hint="eastAsia" w:ascii="宋体" w:hAnsi="宋体"/>
          <w:color w:val="auto"/>
          <w:highlight w:val="none"/>
        </w:rPr>
        <w:t>履约保证金：</w:t>
      </w:r>
      <w:r>
        <w:rPr>
          <w:rFonts w:hint="eastAsia" w:ascii="宋体" w:hAnsi="宋体"/>
          <w:iCs/>
          <w:color w:val="auto"/>
          <w:highlight w:val="none"/>
          <w:u w:val="single"/>
        </w:rPr>
        <w:t>/</w:t>
      </w:r>
      <w:r>
        <w:rPr>
          <w:rFonts w:hint="eastAsia" w:ascii="宋体" w:hAnsi="宋体"/>
          <w:color w:val="auto"/>
          <w:highlight w:val="none"/>
        </w:rPr>
        <w:t>；</w:t>
      </w:r>
    </w:p>
    <w:p w14:paraId="27A69ED7">
      <w:pPr>
        <w:pStyle w:val="9"/>
        <w:spacing w:line="360" w:lineRule="auto"/>
        <w:rPr>
          <w:rFonts w:hint="eastAsia" w:ascii="宋体" w:hAnsi="宋体"/>
          <w:iCs/>
          <w:color w:val="auto"/>
          <w:highlight w:val="none"/>
        </w:rPr>
      </w:pPr>
      <w:r>
        <w:rPr>
          <w:rFonts w:hint="eastAsia" w:ascii="宋体" w:hAnsi="宋体"/>
          <w:iCs/>
          <w:color w:val="auto"/>
          <w:highlight w:val="none"/>
        </w:rPr>
        <w:t>质量保证金：</w:t>
      </w:r>
      <w:r>
        <w:rPr>
          <w:rFonts w:hint="eastAsia" w:ascii="宋体" w:hAnsi="宋体"/>
          <w:iCs/>
          <w:color w:val="auto"/>
          <w:highlight w:val="none"/>
          <w:u w:val="single"/>
        </w:rPr>
        <w:t>/</w:t>
      </w:r>
      <w:r>
        <w:rPr>
          <w:rFonts w:hint="eastAsia" w:ascii="宋体" w:hAnsi="宋体"/>
          <w:iCs/>
          <w:color w:val="auto"/>
          <w:highlight w:val="none"/>
        </w:rPr>
        <w:t>。</w:t>
      </w:r>
    </w:p>
    <w:p w14:paraId="0135598C">
      <w:pPr>
        <w:numPr>
          <w:ilvl w:val="0"/>
          <w:numId w:val="1"/>
        </w:numPr>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采购清单</w:t>
      </w:r>
    </w:p>
    <w:tbl>
      <w:tblPr>
        <w:tblStyle w:val="7"/>
        <w:tblW w:w="85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99"/>
        <w:gridCol w:w="1017"/>
        <w:gridCol w:w="951"/>
        <w:gridCol w:w="1267"/>
        <w:gridCol w:w="1392"/>
        <w:gridCol w:w="1905"/>
      </w:tblGrid>
      <w:tr w14:paraId="217EC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9" w:hRule="atLeast"/>
          <w:jc w:val="center"/>
        </w:trPr>
        <w:tc>
          <w:tcPr>
            <w:tcW w:w="1999" w:type="dxa"/>
            <w:vMerge w:val="restart"/>
            <w:noWrap w:val="0"/>
            <w:vAlign w:val="center"/>
          </w:tcPr>
          <w:p w14:paraId="757A63B2">
            <w:pPr>
              <w:adjustRightInd w:val="0"/>
              <w:snapToGrid w:val="0"/>
              <w:jc w:val="center"/>
              <w:rPr>
                <w:rFonts w:ascii="宋体" w:hAnsi="宋体"/>
                <w:color w:val="auto"/>
                <w:szCs w:val="21"/>
                <w:highlight w:val="none"/>
              </w:rPr>
            </w:pPr>
            <w:r>
              <w:rPr>
                <w:rFonts w:hint="eastAsia" w:ascii="宋体" w:hAnsi="宋体"/>
                <w:color w:val="auto"/>
                <w:szCs w:val="21"/>
                <w:highlight w:val="none"/>
              </w:rPr>
              <w:t>项目名称</w:t>
            </w:r>
          </w:p>
        </w:tc>
        <w:tc>
          <w:tcPr>
            <w:tcW w:w="1017" w:type="dxa"/>
            <w:vMerge w:val="restart"/>
            <w:tcBorders>
              <w:left w:val="single" w:color="auto" w:sz="4" w:space="0"/>
            </w:tcBorders>
            <w:noWrap w:val="0"/>
            <w:vAlign w:val="center"/>
          </w:tcPr>
          <w:p w14:paraId="2CE88B6B">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951" w:type="dxa"/>
            <w:vMerge w:val="restart"/>
            <w:noWrap w:val="0"/>
            <w:vAlign w:val="center"/>
          </w:tcPr>
          <w:p w14:paraId="2D4B3248">
            <w:pPr>
              <w:adjustRightInd w:val="0"/>
              <w:snapToGrid w:val="0"/>
              <w:jc w:val="center"/>
              <w:rPr>
                <w:rFonts w:ascii="宋体" w:hAnsi="宋体"/>
                <w:color w:val="auto"/>
                <w:szCs w:val="21"/>
                <w:highlight w:val="none"/>
              </w:rPr>
            </w:pPr>
            <w:r>
              <w:rPr>
                <w:rFonts w:hint="eastAsia" w:ascii="宋体" w:hAnsi="宋体"/>
                <w:color w:val="auto"/>
                <w:szCs w:val="21"/>
                <w:highlight w:val="none"/>
              </w:rPr>
              <w:t>简要技术要求</w:t>
            </w:r>
          </w:p>
        </w:tc>
        <w:tc>
          <w:tcPr>
            <w:tcW w:w="1267" w:type="dxa"/>
            <w:vMerge w:val="restart"/>
            <w:noWrap w:val="0"/>
            <w:vAlign w:val="center"/>
          </w:tcPr>
          <w:p w14:paraId="3616F74E">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预算</w:t>
            </w:r>
          </w:p>
          <w:p w14:paraId="166DA76B">
            <w:pPr>
              <w:adjustRightInd w:val="0"/>
              <w:snapToGrid w:val="0"/>
              <w:jc w:val="center"/>
              <w:rPr>
                <w:rFonts w:ascii="宋体" w:hAnsi="宋体"/>
                <w:color w:val="auto"/>
                <w:szCs w:val="21"/>
                <w:highlight w:val="none"/>
              </w:rPr>
            </w:pPr>
            <w:r>
              <w:rPr>
                <w:rFonts w:hint="eastAsia" w:ascii="宋体" w:hAnsi="宋体" w:cs="宋体"/>
                <w:color w:val="auto"/>
                <w:kern w:val="0"/>
                <w:szCs w:val="21"/>
                <w:highlight w:val="none"/>
              </w:rPr>
              <w:t>（人民币）</w:t>
            </w:r>
          </w:p>
        </w:tc>
        <w:tc>
          <w:tcPr>
            <w:tcW w:w="3297" w:type="dxa"/>
            <w:gridSpan w:val="2"/>
            <w:tcBorders>
              <w:bottom w:val="single" w:color="auto" w:sz="4" w:space="0"/>
            </w:tcBorders>
            <w:noWrap w:val="0"/>
            <w:vAlign w:val="center"/>
          </w:tcPr>
          <w:p w14:paraId="5EDBEF8C">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服务要求</w:t>
            </w:r>
          </w:p>
        </w:tc>
      </w:tr>
      <w:tr w14:paraId="34821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1999" w:type="dxa"/>
            <w:vMerge w:val="continue"/>
            <w:noWrap w:val="0"/>
            <w:vAlign w:val="center"/>
          </w:tcPr>
          <w:p w14:paraId="24C62A3C">
            <w:pPr>
              <w:adjustRightInd w:val="0"/>
              <w:snapToGrid w:val="0"/>
              <w:jc w:val="center"/>
              <w:rPr>
                <w:rFonts w:ascii="宋体" w:hAnsi="宋体"/>
                <w:color w:val="auto"/>
                <w:szCs w:val="21"/>
                <w:highlight w:val="none"/>
              </w:rPr>
            </w:pPr>
          </w:p>
        </w:tc>
        <w:tc>
          <w:tcPr>
            <w:tcW w:w="1017" w:type="dxa"/>
            <w:vMerge w:val="continue"/>
            <w:tcBorders>
              <w:left w:val="single" w:color="auto" w:sz="4" w:space="0"/>
            </w:tcBorders>
            <w:noWrap w:val="0"/>
            <w:vAlign w:val="center"/>
          </w:tcPr>
          <w:p w14:paraId="199BD985">
            <w:pPr>
              <w:adjustRightInd w:val="0"/>
              <w:snapToGrid w:val="0"/>
              <w:jc w:val="center"/>
              <w:rPr>
                <w:rFonts w:ascii="宋体" w:hAnsi="宋体"/>
                <w:color w:val="auto"/>
                <w:szCs w:val="21"/>
                <w:highlight w:val="none"/>
              </w:rPr>
            </w:pPr>
          </w:p>
        </w:tc>
        <w:tc>
          <w:tcPr>
            <w:tcW w:w="951" w:type="dxa"/>
            <w:vMerge w:val="continue"/>
            <w:noWrap w:val="0"/>
            <w:vAlign w:val="center"/>
          </w:tcPr>
          <w:p w14:paraId="3A31D56A">
            <w:pPr>
              <w:adjustRightInd w:val="0"/>
              <w:snapToGrid w:val="0"/>
              <w:jc w:val="center"/>
              <w:rPr>
                <w:rFonts w:ascii="宋体" w:hAnsi="宋体"/>
                <w:color w:val="auto"/>
                <w:szCs w:val="21"/>
                <w:highlight w:val="none"/>
              </w:rPr>
            </w:pPr>
          </w:p>
        </w:tc>
        <w:tc>
          <w:tcPr>
            <w:tcW w:w="1267" w:type="dxa"/>
            <w:vMerge w:val="continue"/>
            <w:noWrap w:val="0"/>
            <w:vAlign w:val="center"/>
          </w:tcPr>
          <w:p w14:paraId="6B12F415">
            <w:pPr>
              <w:adjustRightInd w:val="0"/>
              <w:snapToGrid w:val="0"/>
              <w:jc w:val="center"/>
              <w:rPr>
                <w:rFonts w:ascii="宋体" w:hAnsi="宋体" w:cs="宋体"/>
                <w:color w:val="auto"/>
                <w:kern w:val="0"/>
                <w:szCs w:val="21"/>
                <w:highlight w:val="none"/>
              </w:rPr>
            </w:pPr>
          </w:p>
        </w:tc>
        <w:tc>
          <w:tcPr>
            <w:tcW w:w="1392" w:type="dxa"/>
            <w:tcBorders>
              <w:top w:val="single" w:color="auto" w:sz="4" w:space="0"/>
              <w:right w:val="single" w:color="auto" w:sz="4" w:space="0"/>
            </w:tcBorders>
            <w:noWrap w:val="0"/>
            <w:vAlign w:val="center"/>
          </w:tcPr>
          <w:p w14:paraId="429401D5">
            <w:pPr>
              <w:adjustRightInd w:val="0"/>
              <w:snapToGrid w:val="0"/>
              <w:jc w:val="center"/>
              <w:rPr>
                <w:rFonts w:ascii="宋体" w:hAnsi="宋体"/>
                <w:color w:val="auto"/>
                <w:szCs w:val="21"/>
                <w:highlight w:val="none"/>
              </w:rPr>
            </w:pPr>
            <w:r>
              <w:rPr>
                <w:rFonts w:hint="eastAsia" w:ascii="宋体" w:hAnsi="宋体"/>
                <w:color w:val="auto"/>
                <w:szCs w:val="21"/>
                <w:highlight w:val="none"/>
              </w:rPr>
              <w:t>时间</w:t>
            </w:r>
          </w:p>
        </w:tc>
        <w:tc>
          <w:tcPr>
            <w:tcW w:w="1905" w:type="dxa"/>
            <w:tcBorders>
              <w:top w:val="single" w:color="auto" w:sz="4" w:space="0"/>
              <w:left w:val="single" w:color="auto" w:sz="4" w:space="0"/>
            </w:tcBorders>
            <w:noWrap w:val="0"/>
            <w:vAlign w:val="center"/>
          </w:tcPr>
          <w:p w14:paraId="2DC5C247">
            <w:pPr>
              <w:adjustRightInd w:val="0"/>
              <w:snapToGrid w:val="0"/>
              <w:jc w:val="center"/>
              <w:rPr>
                <w:rFonts w:ascii="宋体" w:hAnsi="宋体"/>
                <w:color w:val="auto"/>
                <w:szCs w:val="21"/>
                <w:highlight w:val="none"/>
              </w:rPr>
            </w:pPr>
            <w:r>
              <w:rPr>
                <w:rFonts w:hint="eastAsia" w:ascii="宋体" w:hAnsi="宋体"/>
                <w:color w:val="auto"/>
                <w:szCs w:val="21"/>
                <w:highlight w:val="none"/>
              </w:rPr>
              <w:t>地点</w:t>
            </w:r>
          </w:p>
        </w:tc>
      </w:tr>
      <w:tr w14:paraId="7DC38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5" w:hRule="atLeast"/>
          <w:jc w:val="center"/>
        </w:trPr>
        <w:tc>
          <w:tcPr>
            <w:tcW w:w="1999" w:type="dxa"/>
            <w:noWrap w:val="0"/>
            <w:vAlign w:val="center"/>
          </w:tcPr>
          <w:p w14:paraId="3ACCC940">
            <w:pPr>
              <w:adjustRightInd w:val="0"/>
              <w:snapToGrid w:val="0"/>
              <w:jc w:val="center"/>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湖南省工业贸易学校2025年秋季至2026年春季教材采购项目</w:t>
            </w:r>
          </w:p>
        </w:tc>
        <w:tc>
          <w:tcPr>
            <w:tcW w:w="1017" w:type="dxa"/>
            <w:tcBorders>
              <w:left w:val="single" w:color="auto" w:sz="4" w:space="0"/>
            </w:tcBorders>
            <w:noWrap w:val="0"/>
            <w:vAlign w:val="center"/>
          </w:tcPr>
          <w:p w14:paraId="0DADDB61">
            <w:pPr>
              <w:adjustRightInd w:val="0"/>
              <w:snapToGrid w:val="0"/>
              <w:jc w:val="center"/>
              <w:rPr>
                <w:rFonts w:ascii="宋体" w:hAnsi="宋体" w:cs="Courier New"/>
                <w:color w:val="auto"/>
                <w:kern w:val="0"/>
                <w:szCs w:val="21"/>
                <w:highlight w:val="none"/>
              </w:rPr>
            </w:pPr>
            <w:r>
              <w:rPr>
                <w:rFonts w:hint="eastAsia" w:ascii="宋体" w:hAnsi="宋体" w:cs="Courier New"/>
                <w:color w:val="auto"/>
                <w:kern w:val="0"/>
                <w:szCs w:val="21"/>
                <w:highlight w:val="none"/>
              </w:rPr>
              <w:t>详见采购需求</w:t>
            </w:r>
          </w:p>
        </w:tc>
        <w:tc>
          <w:tcPr>
            <w:tcW w:w="951" w:type="dxa"/>
            <w:noWrap w:val="0"/>
            <w:vAlign w:val="center"/>
          </w:tcPr>
          <w:p w14:paraId="3CDEF971">
            <w:pPr>
              <w:adjustRightInd w:val="0"/>
              <w:snapToGrid w:val="0"/>
              <w:jc w:val="center"/>
              <w:rPr>
                <w:rFonts w:hint="eastAsia" w:ascii="宋体" w:hAnsi="宋体" w:cs="Courier New"/>
                <w:color w:val="auto"/>
                <w:kern w:val="0"/>
                <w:szCs w:val="21"/>
                <w:highlight w:val="none"/>
              </w:rPr>
            </w:pPr>
            <w:r>
              <w:rPr>
                <w:rFonts w:hint="eastAsia" w:ascii="宋体" w:hAnsi="宋体" w:cs="Courier New"/>
                <w:color w:val="auto"/>
                <w:kern w:val="0"/>
                <w:szCs w:val="21"/>
                <w:highlight w:val="none"/>
              </w:rPr>
              <w:t>详见采购需求</w:t>
            </w:r>
          </w:p>
        </w:tc>
        <w:tc>
          <w:tcPr>
            <w:tcW w:w="1267" w:type="dxa"/>
            <w:noWrap w:val="0"/>
            <w:vAlign w:val="center"/>
          </w:tcPr>
          <w:p w14:paraId="156BE1A8">
            <w:pPr>
              <w:adjustRightInd w:val="0"/>
              <w:snapToGrid w:val="0"/>
              <w:jc w:val="center"/>
              <w:rPr>
                <w:rFonts w:hint="eastAsia" w:ascii="宋体" w:hAnsi="宋体" w:cs="Courier New"/>
                <w:color w:val="auto"/>
                <w:kern w:val="0"/>
                <w:szCs w:val="21"/>
                <w:highlight w:val="none"/>
              </w:rPr>
            </w:pPr>
            <w:bookmarkStart w:id="1" w:name="OLE_LINK12"/>
            <w:bookmarkStart w:id="2" w:name="OLE_LINK11"/>
            <w:r>
              <w:rPr>
                <w:rFonts w:hint="eastAsia" w:ascii="宋体" w:hAnsi="宋体"/>
                <w:bCs/>
                <w:color w:val="auto"/>
                <w:szCs w:val="21"/>
                <w:highlight w:val="none"/>
                <w:u w:val="single"/>
              </w:rPr>
              <w:t>1980000.00元</w:t>
            </w:r>
            <w:bookmarkEnd w:id="1"/>
            <w:bookmarkEnd w:id="2"/>
          </w:p>
        </w:tc>
        <w:tc>
          <w:tcPr>
            <w:tcW w:w="1392" w:type="dxa"/>
            <w:tcBorders>
              <w:right w:val="single" w:color="auto" w:sz="4" w:space="0"/>
            </w:tcBorders>
            <w:noWrap w:val="0"/>
            <w:vAlign w:val="center"/>
          </w:tcPr>
          <w:p w14:paraId="043FFD4F">
            <w:pPr>
              <w:adjustRightInd w:val="0"/>
              <w:snapToGrid w:val="0"/>
              <w:jc w:val="center"/>
              <w:rPr>
                <w:rFonts w:ascii="宋体" w:hAnsi="宋体" w:cs="Courier New"/>
                <w:color w:val="auto"/>
                <w:kern w:val="0"/>
                <w:szCs w:val="21"/>
                <w:highlight w:val="none"/>
              </w:rPr>
            </w:pPr>
            <w:r>
              <w:rPr>
                <w:rFonts w:hint="eastAsia" w:ascii="宋体" w:hAnsi="宋体" w:cs="Courier New"/>
                <w:color w:val="auto"/>
                <w:kern w:val="0"/>
                <w:szCs w:val="21"/>
                <w:highlight w:val="none"/>
              </w:rPr>
              <w:t>按采购人实际需求交货</w:t>
            </w:r>
          </w:p>
        </w:tc>
        <w:tc>
          <w:tcPr>
            <w:tcW w:w="1905" w:type="dxa"/>
            <w:tcBorders>
              <w:left w:val="single" w:color="auto" w:sz="4" w:space="0"/>
            </w:tcBorders>
            <w:noWrap w:val="0"/>
            <w:vAlign w:val="center"/>
          </w:tcPr>
          <w:p w14:paraId="6FC61B7A">
            <w:pPr>
              <w:adjustRightInd w:val="0"/>
              <w:snapToGrid w:val="0"/>
              <w:jc w:val="center"/>
              <w:rPr>
                <w:rFonts w:ascii="宋体" w:hAnsi="宋体" w:cs="Courier New"/>
                <w:color w:val="auto"/>
                <w:kern w:val="0"/>
                <w:szCs w:val="21"/>
                <w:highlight w:val="none"/>
              </w:rPr>
            </w:pPr>
            <w:r>
              <w:rPr>
                <w:rFonts w:hint="eastAsia" w:ascii="宋体" w:hAnsi="宋体" w:cs="Courier New"/>
                <w:color w:val="auto"/>
                <w:kern w:val="0"/>
                <w:szCs w:val="21"/>
                <w:highlight w:val="none"/>
              </w:rPr>
              <w:t>由中标人配送至采购人指定的地点</w:t>
            </w:r>
          </w:p>
        </w:tc>
      </w:tr>
    </w:tbl>
    <w:p w14:paraId="57D0E8E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说明：</w:t>
      </w:r>
      <w:r>
        <w:rPr>
          <w:rFonts w:hint="eastAsia" w:ascii="宋体" w:hAnsi="宋体"/>
          <w:b/>
          <w:color w:val="auto"/>
          <w:szCs w:val="21"/>
          <w:highlight w:val="none"/>
        </w:rPr>
        <w:t>采购人有权根据需要对采购数量进行调整，据实结算。</w:t>
      </w:r>
    </w:p>
    <w:p w14:paraId="2E7B78E5">
      <w:pPr>
        <w:adjustRightInd w:val="0"/>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三、采购项目需落实的政府采购政策</w:t>
      </w:r>
      <w:r>
        <w:rPr>
          <w:rFonts w:hint="eastAsia" w:ascii="宋体" w:hAnsi="宋体"/>
          <w:color w:val="auto"/>
          <w:szCs w:val="21"/>
          <w:highlight w:val="none"/>
        </w:rPr>
        <w:t>：</w:t>
      </w:r>
    </w:p>
    <w:p w14:paraId="3831D10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强制采购：政府采购实行强制采购的节能产品。</w:t>
      </w:r>
    </w:p>
    <w:p w14:paraId="52F5FA8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优先采购：政府采购鼓励采购节能环保产品。</w:t>
      </w:r>
    </w:p>
    <w:p w14:paraId="7BE0025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价格评审优惠：政府采购促进中小企业发展、政府采购支持监狱企业发展、政府采购促进 </w:t>
      </w:r>
    </w:p>
    <w:p w14:paraId="416F237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残疾人就业）</w:t>
      </w:r>
    </w:p>
    <w:p w14:paraId="1C31EEE1">
      <w:pPr>
        <w:adjustRightInd w:val="0"/>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四、投标人的资格要求</w:t>
      </w:r>
      <w:r>
        <w:rPr>
          <w:rFonts w:hint="eastAsia" w:ascii="宋体" w:hAnsi="宋体"/>
          <w:color w:val="auto"/>
          <w:szCs w:val="21"/>
          <w:highlight w:val="none"/>
        </w:rPr>
        <w:t>：</w:t>
      </w:r>
    </w:p>
    <w:p w14:paraId="68D4810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1、投标人的基本资格条件：投标人必须是在中华人民共和国境内注册登记的法人、其他组织或者自然人，且应当符合《政府采购法》第二十二条第一款的规定，即：</w:t>
      </w:r>
    </w:p>
    <w:p w14:paraId="6437ED16">
      <w:pPr>
        <w:widowControl/>
        <w:kinsoku w:val="0"/>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auto"/>
          <w:spacing w:val="14"/>
          <w:kern w:val="0"/>
          <w:szCs w:val="21"/>
          <w:highlight w:val="none"/>
        </w:rPr>
      </w:pPr>
      <w:r>
        <w:rPr>
          <w:rFonts w:hint="eastAsia" w:ascii="宋体" w:hAnsi="宋体" w:cs="宋体"/>
          <w:snapToGrid w:val="0"/>
          <w:color w:val="auto"/>
          <w:spacing w:val="14"/>
          <w:kern w:val="0"/>
          <w:szCs w:val="21"/>
          <w:highlight w:val="none"/>
        </w:rPr>
        <w:t>(1) 具有独立承担民事责任的能力；</w:t>
      </w:r>
    </w:p>
    <w:p w14:paraId="378984CC">
      <w:pPr>
        <w:widowControl/>
        <w:kinsoku w:val="0"/>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auto"/>
          <w:spacing w:val="14"/>
          <w:kern w:val="0"/>
          <w:szCs w:val="21"/>
          <w:highlight w:val="none"/>
        </w:rPr>
      </w:pPr>
      <w:r>
        <w:rPr>
          <w:rFonts w:hint="eastAsia" w:ascii="宋体" w:hAnsi="宋体" w:cs="宋体"/>
          <w:snapToGrid w:val="0"/>
          <w:color w:val="auto"/>
          <w:spacing w:val="14"/>
          <w:kern w:val="0"/>
          <w:szCs w:val="21"/>
          <w:highlight w:val="none"/>
        </w:rPr>
        <w:t>(2) 具有良好的商业信誉和健全的财务会计制度；</w:t>
      </w:r>
    </w:p>
    <w:p w14:paraId="2D751C01">
      <w:pPr>
        <w:widowControl/>
        <w:kinsoku w:val="0"/>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auto"/>
          <w:spacing w:val="14"/>
          <w:kern w:val="0"/>
          <w:szCs w:val="21"/>
          <w:highlight w:val="none"/>
        </w:rPr>
      </w:pPr>
      <w:r>
        <w:rPr>
          <w:rFonts w:hint="eastAsia" w:ascii="宋体" w:hAnsi="宋体" w:cs="宋体"/>
          <w:snapToGrid w:val="0"/>
          <w:color w:val="auto"/>
          <w:spacing w:val="14"/>
          <w:kern w:val="0"/>
          <w:szCs w:val="21"/>
          <w:highlight w:val="none"/>
        </w:rPr>
        <w:t>(3) 具有履行合同所必需的设备和专业技术能力；</w:t>
      </w:r>
    </w:p>
    <w:p w14:paraId="6DB12C7B">
      <w:pPr>
        <w:widowControl/>
        <w:kinsoku w:val="0"/>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auto"/>
          <w:spacing w:val="14"/>
          <w:kern w:val="0"/>
          <w:szCs w:val="21"/>
          <w:highlight w:val="none"/>
        </w:rPr>
      </w:pPr>
      <w:r>
        <w:rPr>
          <w:rFonts w:hint="eastAsia" w:ascii="宋体" w:hAnsi="宋体" w:cs="宋体"/>
          <w:snapToGrid w:val="0"/>
          <w:color w:val="auto"/>
          <w:spacing w:val="14"/>
          <w:kern w:val="0"/>
          <w:szCs w:val="21"/>
          <w:highlight w:val="none"/>
        </w:rPr>
        <w:t>(4) 有依法缴纳税收和社会保障资金的良好记录；</w:t>
      </w:r>
    </w:p>
    <w:p w14:paraId="7889A561">
      <w:pPr>
        <w:widowControl/>
        <w:kinsoku w:val="0"/>
        <w:autoSpaceDE w:val="0"/>
        <w:autoSpaceDN w:val="0"/>
        <w:adjustRightInd w:val="0"/>
        <w:snapToGrid w:val="0"/>
        <w:spacing w:line="360" w:lineRule="auto"/>
        <w:ind w:firstLine="476" w:firstLineChars="200"/>
        <w:jc w:val="left"/>
        <w:textAlignment w:val="baseline"/>
        <w:rPr>
          <w:rFonts w:hint="eastAsia" w:ascii="宋体" w:hAnsi="宋体" w:cs="宋体"/>
          <w:snapToGrid w:val="0"/>
          <w:color w:val="auto"/>
          <w:spacing w:val="14"/>
          <w:kern w:val="0"/>
          <w:szCs w:val="21"/>
          <w:highlight w:val="none"/>
        </w:rPr>
      </w:pPr>
      <w:r>
        <w:rPr>
          <w:rFonts w:hint="eastAsia" w:ascii="宋体" w:hAnsi="宋体" w:cs="宋体"/>
          <w:snapToGrid w:val="0"/>
          <w:color w:val="auto"/>
          <w:spacing w:val="14"/>
          <w:kern w:val="0"/>
          <w:szCs w:val="21"/>
          <w:highlight w:val="none"/>
        </w:rPr>
        <w:t>(5) 参加政府采购活动前三年内，在经营活动中没有重大违法记录；</w:t>
      </w:r>
    </w:p>
    <w:p w14:paraId="38C5204C">
      <w:pPr>
        <w:widowControl/>
        <w:kinsoku w:val="0"/>
        <w:autoSpaceDE w:val="0"/>
        <w:autoSpaceDN w:val="0"/>
        <w:adjustRightInd w:val="0"/>
        <w:snapToGrid w:val="0"/>
        <w:spacing w:line="360" w:lineRule="auto"/>
        <w:ind w:firstLine="476" w:firstLineChars="200"/>
        <w:jc w:val="left"/>
        <w:textAlignment w:val="baseline"/>
        <w:rPr>
          <w:rFonts w:hint="eastAsia" w:ascii="宋体" w:hAnsi="宋体"/>
          <w:color w:val="auto"/>
          <w:szCs w:val="21"/>
          <w:highlight w:val="none"/>
        </w:rPr>
      </w:pPr>
      <w:r>
        <w:rPr>
          <w:rFonts w:hint="eastAsia" w:ascii="宋体" w:hAnsi="宋体" w:cs="宋体"/>
          <w:snapToGrid w:val="0"/>
          <w:color w:val="auto"/>
          <w:spacing w:val="14"/>
          <w:kern w:val="0"/>
          <w:szCs w:val="21"/>
          <w:highlight w:val="none"/>
        </w:rPr>
        <w:t>(6) 法律、行政法规规定的其他条件。</w:t>
      </w:r>
    </w:p>
    <w:p w14:paraId="47CC73AB">
      <w:pPr>
        <w:adjustRightInd w:val="0"/>
        <w:snapToGrid w:val="0"/>
        <w:spacing w:line="360" w:lineRule="auto"/>
        <w:ind w:firstLine="420" w:firstLineChars="200"/>
        <w:rPr>
          <w:rFonts w:hint="eastAsia" w:ascii="宋体" w:hAnsi="宋体"/>
          <w:b/>
          <w:bCs w:val="0"/>
          <w:color w:val="auto"/>
          <w:szCs w:val="21"/>
          <w:highlight w:val="none"/>
          <w:u w:val="single"/>
          <w:lang w:eastAsia="zh-CN"/>
        </w:rPr>
      </w:pPr>
      <w:r>
        <w:rPr>
          <w:rFonts w:hint="eastAsia" w:ascii="宋体" w:hAnsi="宋体"/>
          <w:color w:val="auto"/>
          <w:szCs w:val="21"/>
          <w:highlight w:val="none"/>
        </w:rPr>
        <w:t>2、采购项目的特定资格条件：</w:t>
      </w:r>
      <w:r>
        <w:rPr>
          <w:rFonts w:hint="eastAsia" w:ascii="宋体" w:hAnsi="宋体"/>
          <w:b/>
          <w:bCs w:val="0"/>
          <w:color w:val="auto"/>
          <w:szCs w:val="21"/>
          <w:highlight w:val="none"/>
          <w:u w:val="single"/>
          <w:lang w:eastAsia="zh-CN"/>
        </w:rPr>
        <w:t>投标人须具有出版行政主管部门颁发的《中华人民共和国出版物经营许可证》，并提供处于有效期内的证书复印（扫描）件。</w:t>
      </w:r>
    </w:p>
    <w:p w14:paraId="14240D2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3、单位负责人为同一人或者存在直接控股、管理关系的不同投标人，不得参加同一合同项下的政府采购活动。</w:t>
      </w:r>
    </w:p>
    <w:p w14:paraId="6ECCB95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4、为本采购项目提供整体设计、规范编制或者项目管理、监理、检测等服务的，不得再参加此项目的其他采购活动。</w:t>
      </w:r>
    </w:p>
    <w:p w14:paraId="3867F36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5列入失信被执行人、重大税收违法失信主体名单、政府采购严重违法失信行为记录名单的，拒绝其参与政府采购活动。</w:t>
      </w:r>
    </w:p>
    <w:p w14:paraId="5A6A099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税务登记证、社会保险登记证和统计登记证，符合基本资格条件的相关条款；（2）供应商提供了有效的《湖南省政府采购供应商资格承诺函》的，无需再提供财务状况、缴纳税收、社会保障资金证明、参加政府采购活动前三年内无重大违法记录等材料。（3）资格证明文件复印件须加盖供应商公章。</w:t>
      </w:r>
    </w:p>
    <w:p w14:paraId="750B7810">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五、获取招标文件的时间、期限、地点及方式</w:t>
      </w:r>
    </w:p>
    <w:p w14:paraId="07CDB636">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1、时间：</w:t>
      </w:r>
      <w:r>
        <w:rPr>
          <w:rFonts w:hint="eastAsia" w:ascii="宋体" w:hAnsi="宋体" w:cs="Courier New"/>
          <w:color w:val="auto"/>
          <w:kern w:val="0"/>
          <w:szCs w:val="21"/>
          <w:highlight w:val="none"/>
          <w:u w:val="single"/>
        </w:rPr>
        <w:t>2025年6月</w:t>
      </w:r>
      <w:r>
        <w:rPr>
          <w:rFonts w:hint="eastAsia" w:ascii="宋体" w:hAnsi="宋体" w:cs="Courier New"/>
          <w:color w:val="auto"/>
          <w:kern w:val="0"/>
          <w:szCs w:val="21"/>
          <w:highlight w:val="none"/>
          <w:u w:val="single"/>
          <w:lang w:val="en-US" w:eastAsia="zh-CN"/>
        </w:rPr>
        <w:t>12</w:t>
      </w:r>
      <w:r>
        <w:rPr>
          <w:rFonts w:hint="eastAsia" w:ascii="宋体" w:hAnsi="宋体" w:cs="Courier New"/>
          <w:color w:val="auto"/>
          <w:kern w:val="0"/>
          <w:szCs w:val="21"/>
          <w:highlight w:val="none"/>
          <w:u w:val="single"/>
        </w:rPr>
        <w:t>日至2025年6月</w:t>
      </w:r>
      <w:r>
        <w:rPr>
          <w:rFonts w:hint="eastAsia" w:ascii="宋体" w:hAnsi="宋体" w:cs="Courier New"/>
          <w:color w:val="auto"/>
          <w:kern w:val="0"/>
          <w:szCs w:val="21"/>
          <w:highlight w:val="none"/>
          <w:u w:val="single"/>
          <w:lang w:val="en-US" w:eastAsia="zh-CN"/>
        </w:rPr>
        <w:t>19</w:t>
      </w:r>
      <w:r>
        <w:rPr>
          <w:rFonts w:hint="eastAsia" w:ascii="宋体" w:hAnsi="宋体" w:cs="Courier New"/>
          <w:color w:val="auto"/>
          <w:kern w:val="0"/>
          <w:szCs w:val="21"/>
          <w:highlight w:val="none"/>
          <w:u w:val="single"/>
        </w:rPr>
        <w:t>日</w:t>
      </w:r>
      <w:r>
        <w:rPr>
          <w:rFonts w:hint="eastAsia" w:ascii="宋体" w:hAnsi="宋体"/>
          <w:color w:val="auto"/>
          <w:szCs w:val="21"/>
          <w:highlight w:val="none"/>
        </w:rPr>
        <w:t>，每天上午 9:00至12:00，下午14:00至17:00（北京时间，法定节假日除外）。</w:t>
      </w:r>
    </w:p>
    <w:p w14:paraId="694813E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2、地点：</w:t>
      </w:r>
      <w:r>
        <w:rPr>
          <w:rFonts w:hint="eastAsia" w:ascii="宋体" w:hAnsi="宋体" w:cs="Courier New"/>
          <w:color w:val="auto"/>
          <w:kern w:val="0"/>
          <w:szCs w:val="21"/>
          <w:highlight w:val="none"/>
          <w:u w:val="single"/>
          <w:lang w:eastAsia="zh-CN"/>
        </w:rPr>
        <w:t>天鉴国际工程管理有限公司</w:t>
      </w:r>
      <w:r>
        <w:rPr>
          <w:rFonts w:hint="eastAsia" w:ascii="宋体" w:hAnsi="宋体" w:cs="Courier New"/>
          <w:color w:val="auto"/>
          <w:kern w:val="0"/>
          <w:szCs w:val="21"/>
          <w:highlight w:val="none"/>
          <w:u w:val="single"/>
        </w:rPr>
        <w:t>（</w:t>
      </w:r>
      <w:r>
        <w:rPr>
          <w:rFonts w:hint="eastAsia" w:ascii="宋体" w:hAnsi="宋体" w:cs="Courier New"/>
          <w:color w:val="auto"/>
          <w:kern w:val="0"/>
          <w:szCs w:val="21"/>
          <w:highlight w:val="none"/>
          <w:u w:val="single"/>
          <w:lang w:eastAsia="zh-CN"/>
        </w:rPr>
        <w:t>长沙市雨花区金海路128号天鉴大厦4楼409室</w:t>
      </w:r>
      <w:r>
        <w:rPr>
          <w:rFonts w:hint="eastAsia" w:ascii="宋体" w:hAnsi="宋体" w:cs="Courier New"/>
          <w:color w:val="auto"/>
          <w:kern w:val="0"/>
          <w:szCs w:val="21"/>
          <w:highlight w:val="none"/>
          <w:u w:val="single"/>
        </w:rPr>
        <w:t>）。</w:t>
      </w:r>
    </w:p>
    <w:p w14:paraId="51E08C23">
      <w:pPr>
        <w:adjustRightInd w:val="0"/>
        <w:snapToGrid w:val="0"/>
        <w:spacing w:line="360" w:lineRule="auto"/>
        <w:ind w:firstLine="420" w:firstLineChars="200"/>
        <w:jc w:val="left"/>
        <w:rPr>
          <w:rFonts w:hint="eastAsia" w:ascii="宋体" w:hAnsi="宋体" w:cs="Courier New"/>
          <w:color w:val="auto"/>
          <w:kern w:val="0"/>
          <w:szCs w:val="21"/>
          <w:highlight w:val="none"/>
          <w:u w:val="single"/>
        </w:rPr>
      </w:pPr>
      <w:r>
        <w:rPr>
          <w:rFonts w:hint="eastAsia" w:ascii="宋体" w:hAnsi="宋体"/>
          <w:color w:val="auto"/>
          <w:szCs w:val="21"/>
          <w:highlight w:val="none"/>
        </w:rPr>
        <w:t>3、方式：持法定代表人身份证明原件或授权委托书原件（附法定代表人身份证明原件）、个人身份证原件、投标人营业执照副本复印件购买招标文件</w:t>
      </w:r>
      <w:r>
        <w:rPr>
          <w:rFonts w:hint="eastAsia" w:ascii="宋体" w:hAnsi="宋体" w:cs="Courier New"/>
          <w:color w:val="auto"/>
          <w:kern w:val="0"/>
          <w:szCs w:val="21"/>
          <w:highlight w:val="none"/>
          <w:u w:val="single"/>
        </w:rPr>
        <w:t>（如潜在投标人无法现场购买招标文件的，可以通过邮件报名，将上述材料彩色扫描件发送至（</w:t>
      </w:r>
      <w:r>
        <w:rPr>
          <w:rFonts w:hint="eastAsia" w:ascii="宋体" w:hAnsi="宋体" w:cs="Courier New"/>
          <w:color w:val="auto"/>
          <w:kern w:val="0"/>
          <w:szCs w:val="21"/>
          <w:highlight w:val="none"/>
          <w:u w:val="single"/>
          <w:lang w:eastAsia="zh-CN"/>
        </w:rPr>
        <w:t>411882498</w:t>
      </w:r>
      <w:r>
        <w:rPr>
          <w:rFonts w:hint="eastAsia" w:ascii="宋体" w:hAnsi="宋体" w:cs="Courier New"/>
          <w:color w:val="auto"/>
          <w:kern w:val="0"/>
          <w:szCs w:val="21"/>
          <w:highlight w:val="none"/>
          <w:u w:val="single"/>
        </w:rPr>
        <w:t>@qq.com）。</w:t>
      </w:r>
    </w:p>
    <w:p w14:paraId="5025DA7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4、售价：</w:t>
      </w:r>
      <w:r>
        <w:rPr>
          <w:rFonts w:hint="eastAsia" w:ascii="宋体" w:hAnsi="宋体"/>
          <w:color w:val="auto"/>
          <w:szCs w:val="21"/>
          <w:highlight w:val="none"/>
          <w:u w:val="single"/>
        </w:rPr>
        <w:t>400</w:t>
      </w:r>
      <w:r>
        <w:rPr>
          <w:rFonts w:hint="eastAsia" w:ascii="宋体" w:hAnsi="宋体"/>
          <w:color w:val="auto"/>
          <w:szCs w:val="21"/>
          <w:highlight w:val="none"/>
        </w:rPr>
        <w:t>元，售后不退。</w:t>
      </w:r>
    </w:p>
    <w:p w14:paraId="414B0D63">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六、投标截止时间、开标时间及地点</w:t>
      </w:r>
    </w:p>
    <w:p w14:paraId="046630B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1、提交投标文件的截止时间及开标时间：</w:t>
      </w:r>
      <w:r>
        <w:rPr>
          <w:rFonts w:hint="eastAsia" w:ascii="宋体" w:hAnsi="宋体" w:cs="Courier New"/>
          <w:color w:val="auto"/>
          <w:kern w:val="0"/>
          <w:szCs w:val="21"/>
          <w:highlight w:val="none"/>
          <w:u w:val="single"/>
        </w:rPr>
        <w:t>2025年</w:t>
      </w:r>
      <w:r>
        <w:rPr>
          <w:rFonts w:hint="eastAsia" w:ascii="宋体" w:hAnsi="宋体" w:cs="Courier New"/>
          <w:color w:val="auto"/>
          <w:kern w:val="0"/>
          <w:szCs w:val="21"/>
          <w:highlight w:val="none"/>
          <w:u w:val="single"/>
          <w:lang w:val="en-US" w:eastAsia="zh-CN"/>
        </w:rPr>
        <w:t>7</w:t>
      </w:r>
      <w:r>
        <w:rPr>
          <w:rFonts w:hint="eastAsia" w:ascii="宋体" w:hAnsi="宋体" w:cs="Courier New"/>
          <w:color w:val="auto"/>
          <w:kern w:val="0"/>
          <w:szCs w:val="21"/>
          <w:highlight w:val="none"/>
          <w:u w:val="single"/>
        </w:rPr>
        <w:t>月</w:t>
      </w:r>
      <w:r>
        <w:rPr>
          <w:rFonts w:hint="eastAsia" w:ascii="宋体" w:hAnsi="宋体" w:cs="Courier New"/>
          <w:color w:val="auto"/>
          <w:kern w:val="0"/>
          <w:szCs w:val="21"/>
          <w:highlight w:val="none"/>
          <w:u w:val="single"/>
          <w:lang w:val="en-US" w:eastAsia="zh-CN"/>
        </w:rPr>
        <w:t>3</w:t>
      </w:r>
      <w:r>
        <w:rPr>
          <w:rFonts w:hint="eastAsia" w:ascii="宋体" w:hAnsi="宋体" w:cs="Courier New"/>
          <w:color w:val="auto"/>
          <w:kern w:val="0"/>
          <w:szCs w:val="21"/>
          <w:highlight w:val="none"/>
          <w:u w:val="single"/>
        </w:rPr>
        <w:t>日</w:t>
      </w:r>
      <w:r>
        <w:rPr>
          <w:rFonts w:hint="eastAsia" w:ascii="宋体" w:hAnsi="宋体" w:cs="Courier New"/>
          <w:color w:val="auto"/>
          <w:kern w:val="0"/>
          <w:szCs w:val="21"/>
          <w:highlight w:val="none"/>
          <w:u w:val="single"/>
          <w:lang w:val="en-US" w:eastAsia="zh-CN"/>
        </w:rPr>
        <w:t>15</w:t>
      </w:r>
      <w:r>
        <w:rPr>
          <w:rFonts w:hint="eastAsia" w:ascii="宋体" w:hAnsi="宋体" w:cs="Courier New"/>
          <w:color w:val="auto"/>
          <w:kern w:val="0"/>
          <w:szCs w:val="21"/>
          <w:highlight w:val="none"/>
          <w:u w:val="single"/>
        </w:rPr>
        <w:t>时</w:t>
      </w:r>
      <w:r>
        <w:rPr>
          <w:rFonts w:hint="eastAsia" w:ascii="宋体" w:hAnsi="宋体" w:cs="Courier New"/>
          <w:color w:val="auto"/>
          <w:kern w:val="0"/>
          <w:szCs w:val="21"/>
          <w:highlight w:val="none"/>
          <w:u w:val="single"/>
          <w:lang w:val="en-US" w:eastAsia="zh-CN"/>
        </w:rPr>
        <w:t>00</w:t>
      </w:r>
      <w:r>
        <w:rPr>
          <w:rFonts w:hint="eastAsia" w:ascii="宋体" w:hAnsi="宋体" w:cs="Courier New"/>
          <w:color w:val="auto"/>
          <w:kern w:val="0"/>
          <w:szCs w:val="21"/>
          <w:highlight w:val="none"/>
          <w:u w:val="single"/>
        </w:rPr>
        <w:t>分</w:t>
      </w:r>
      <w:r>
        <w:rPr>
          <w:rFonts w:hint="eastAsia" w:ascii="宋体" w:hAnsi="宋体"/>
          <w:color w:val="auto"/>
          <w:szCs w:val="21"/>
          <w:highlight w:val="none"/>
        </w:rPr>
        <w:t>（北京时间）；</w:t>
      </w:r>
    </w:p>
    <w:p w14:paraId="4FBE1425">
      <w:pPr>
        <w:adjustRightInd w:val="0"/>
        <w:snapToGrid w:val="0"/>
        <w:spacing w:line="360" w:lineRule="auto"/>
        <w:ind w:firstLine="420" w:firstLineChars="200"/>
        <w:rPr>
          <w:rFonts w:ascii="宋体" w:hAnsi="宋体" w:cs="宋体"/>
          <w:color w:val="auto"/>
          <w:highlight w:val="none"/>
        </w:rPr>
      </w:pPr>
      <w:r>
        <w:rPr>
          <w:rFonts w:hint="eastAsia" w:ascii="宋体" w:hAnsi="宋体"/>
          <w:color w:val="auto"/>
          <w:szCs w:val="21"/>
          <w:highlight w:val="none"/>
        </w:rPr>
        <w:t>2、投标地点及开标地点：</w:t>
      </w:r>
      <w:r>
        <w:rPr>
          <w:rFonts w:hint="eastAsia" w:ascii="宋体" w:hAnsi="宋体" w:cs="Courier New"/>
          <w:color w:val="auto"/>
          <w:kern w:val="0"/>
          <w:szCs w:val="21"/>
          <w:highlight w:val="none"/>
          <w:u w:val="single"/>
          <w:lang w:eastAsia="zh-CN"/>
        </w:rPr>
        <w:t>天鉴国际工程管理有限公司</w:t>
      </w:r>
      <w:r>
        <w:rPr>
          <w:rFonts w:hint="eastAsia" w:ascii="宋体" w:hAnsi="宋体" w:cs="Courier New"/>
          <w:color w:val="auto"/>
          <w:kern w:val="0"/>
          <w:szCs w:val="21"/>
          <w:highlight w:val="none"/>
          <w:u w:val="single"/>
        </w:rPr>
        <w:t>（</w:t>
      </w:r>
      <w:r>
        <w:rPr>
          <w:rFonts w:hint="eastAsia" w:ascii="宋体" w:hAnsi="宋体" w:cs="Courier New"/>
          <w:color w:val="auto"/>
          <w:kern w:val="0"/>
          <w:szCs w:val="21"/>
          <w:highlight w:val="none"/>
          <w:u w:val="single"/>
          <w:lang w:eastAsia="zh-CN"/>
        </w:rPr>
        <w:t>长沙市雨花区金海路128号天鉴大厦</w:t>
      </w:r>
      <w:r>
        <w:rPr>
          <w:rFonts w:hint="eastAsia" w:ascii="宋体" w:hAnsi="宋体" w:cs="Courier New"/>
          <w:color w:val="auto"/>
          <w:kern w:val="0"/>
          <w:szCs w:val="21"/>
          <w:highlight w:val="none"/>
          <w:u w:val="single"/>
          <w:lang w:val="en-US" w:eastAsia="zh-CN"/>
        </w:rPr>
        <w:t>6楼会议室</w:t>
      </w:r>
      <w:r>
        <w:rPr>
          <w:rFonts w:hint="eastAsia" w:ascii="宋体" w:hAnsi="宋体" w:cs="Courier New"/>
          <w:color w:val="auto"/>
          <w:kern w:val="0"/>
          <w:szCs w:val="21"/>
          <w:highlight w:val="none"/>
          <w:u w:val="single"/>
        </w:rPr>
        <w:t>）。</w:t>
      </w:r>
    </w:p>
    <w:p w14:paraId="301EC1D3">
      <w:pPr>
        <w:adjustRightInd w:val="0"/>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七、公告期限</w:t>
      </w:r>
      <w:r>
        <w:rPr>
          <w:rFonts w:hint="eastAsia" w:ascii="宋体" w:hAnsi="宋体"/>
          <w:color w:val="auto"/>
          <w:szCs w:val="21"/>
          <w:highlight w:val="none"/>
        </w:rPr>
        <w:t>：</w:t>
      </w:r>
    </w:p>
    <w:p w14:paraId="1ABBABE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1、本招标公告在</w:t>
      </w:r>
      <w:r>
        <w:rPr>
          <w:rFonts w:hint="eastAsia" w:ascii="宋体" w:hAnsi="宋体"/>
          <w:color w:val="auto"/>
          <w:szCs w:val="21"/>
          <w:highlight w:val="none"/>
          <w:lang w:eastAsia="zh-CN"/>
        </w:rPr>
        <w:t>天鉴国际工程管理有限公司官网（http://www.hntianjian.com/）和湖南省工业贸易学校官网（http://www.gm-hn.com/）</w:t>
      </w:r>
      <w:r>
        <w:rPr>
          <w:rFonts w:hint="eastAsia" w:ascii="宋体" w:hAnsi="宋体"/>
          <w:color w:val="auto"/>
          <w:szCs w:val="21"/>
          <w:highlight w:val="none"/>
        </w:rPr>
        <w:t>发布。公告期限从本招标公告发布之日起5个工作日。</w:t>
      </w:r>
    </w:p>
    <w:p w14:paraId="54E79E8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2、在不同媒体发布的同一政府采购公告如有不一致的，以在指定的网站发布的为准。</w:t>
      </w:r>
    </w:p>
    <w:p w14:paraId="57F649CD">
      <w:pPr>
        <w:adjustRightInd w:val="0"/>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八、询问及质疑</w:t>
      </w:r>
      <w:r>
        <w:rPr>
          <w:rFonts w:hint="eastAsia" w:ascii="宋体" w:hAnsi="宋体"/>
          <w:color w:val="auto"/>
          <w:szCs w:val="21"/>
          <w:highlight w:val="none"/>
        </w:rPr>
        <w:t>：</w:t>
      </w:r>
    </w:p>
    <w:p w14:paraId="28B640A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1、投标人对政府采购活动事项如有疑问的，可以向采购人、采购代理机构提出询问。采购人、采购代理机构将在3个工作日内作出答复。</w:t>
      </w:r>
    </w:p>
    <w:p w14:paraId="57AB5C8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潜在投标人认为招标文件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4AD522BA">
      <w:pPr>
        <w:pStyle w:val="6"/>
        <w:ind w:firstLine="420" w:firstLineChars="200"/>
        <w:rPr>
          <w:rFonts w:ascii="宋体" w:hAnsi="宋体"/>
          <w:bCs/>
          <w:color w:val="auto"/>
          <w:highlight w:val="none"/>
        </w:rPr>
      </w:pPr>
      <w:r>
        <w:rPr>
          <w:rFonts w:hint="eastAsia" w:ascii="宋体" w:hAnsi="宋体"/>
          <w:bCs/>
          <w:color w:val="auto"/>
          <w:highlight w:val="none"/>
        </w:rPr>
        <w:t>3、投标人在法定质疑期内针对同一采购程序环节的质疑事项须一次性提出。</w:t>
      </w:r>
    </w:p>
    <w:p w14:paraId="04587F94">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九、采购人、采购代理机构的名称、地址和联系方法</w:t>
      </w:r>
    </w:p>
    <w:p w14:paraId="5E4C1468">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p>
    <w:p w14:paraId="242FED81">
      <w:pPr>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bCs/>
          <w:color w:val="auto"/>
          <w:szCs w:val="21"/>
          <w:highlight w:val="none"/>
          <w:u w:val="single"/>
        </w:rPr>
        <w:t>湖南省工业贸易学校</w:t>
      </w:r>
    </w:p>
    <w:p w14:paraId="123FFF5C">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（2）地  址：</w:t>
      </w:r>
      <w:r>
        <w:rPr>
          <w:rFonts w:hint="eastAsia" w:ascii="宋体" w:hAnsi="宋体"/>
          <w:color w:val="auto"/>
          <w:szCs w:val="21"/>
          <w:highlight w:val="none"/>
          <w:u w:val="single"/>
        </w:rPr>
        <w:t>长沙市雨花区树木岭路57号</w:t>
      </w:r>
    </w:p>
    <w:p w14:paraId="5BF6BF5B">
      <w:pPr>
        <w:adjustRightInd w:val="0"/>
        <w:snapToGrid w:val="0"/>
        <w:spacing w:line="360" w:lineRule="auto"/>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（3）联系人：</w:t>
      </w:r>
      <w:r>
        <w:rPr>
          <w:rFonts w:hint="eastAsia" w:ascii="宋体" w:hAnsi="宋体" w:cs="Courier New"/>
          <w:color w:val="auto"/>
          <w:kern w:val="0"/>
          <w:szCs w:val="21"/>
          <w:highlight w:val="none"/>
          <w:u w:val="single"/>
        </w:rPr>
        <w:t xml:space="preserve"> 刘先生  </w:t>
      </w:r>
    </w:p>
    <w:p w14:paraId="01FA1479">
      <w:pPr>
        <w:adjustRightInd w:val="0"/>
        <w:snapToGrid w:val="0"/>
        <w:spacing w:line="360" w:lineRule="auto"/>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（4）电  话：</w:t>
      </w:r>
      <w:r>
        <w:rPr>
          <w:rFonts w:hint="eastAsia" w:ascii="宋体" w:hAnsi="宋体" w:cs="Courier New"/>
          <w:color w:val="auto"/>
          <w:kern w:val="0"/>
          <w:szCs w:val="21"/>
          <w:highlight w:val="none"/>
          <w:u w:val="single"/>
        </w:rPr>
        <w:t xml:space="preserve"> 0</w:t>
      </w:r>
      <w:bookmarkStart w:id="3" w:name="_GoBack"/>
      <w:bookmarkEnd w:id="3"/>
      <w:r>
        <w:rPr>
          <w:rFonts w:hint="eastAsia" w:ascii="宋体" w:hAnsi="宋体" w:cs="Courier New"/>
          <w:color w:val="auto"/>
          <w:kern w:val="0"/>
          <w:szCs w:val="21"/>
          <w:highlight w:val="none"/>
          <w:u w:val="single"/>
        </w:rPr>
        <w:t xml:space="preserve">731-85649028 </w:t>
      </w:r>
    </w:p>
    <w:p w14:paraId="55695AD7">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w:t>
      </w:r>
      <w:r>
        <w:rPr>
          <w:rFonts w:hint="eastAsia" w:ascii="宋体" w:hAnsi="宋体"/>
          <w:b/>
          <w:bCs/>
          <w:color w:val="auto"/>
          <w:szCs w:val="21"/>
          <w:highlight w:val="none"/>
        </w:rPr>
        <w:t>采购代理机构信息</w:t>
      </w:r>
    </w:p>
    <w:p w14:paraId="3AF7FD9B">
      <w:pPr>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single"/>
          <w:lang w:eastAsia="zh-CN"/>
        </w:rPr>
        <w:t>天鉴国际工程管理有限公司</w:t>
      </w:r>
      <w:r>
        <w:rPr>
          <w:rFonts w:hint="eastAsia" w:ascii="宋体" w:hAnsi="宋体"/>
          <w:color w:val="auto"/>
          <w:szCs w:val="21"/>
          <w:highlight w:val="none"/>
          <w:u w:val="single"/>
        </w:rPr>
        <w:t xml:space="preserve"> </w:t>
      </w:r>
    </w:p>
    <w:p w14:paraId="1A5BCF99">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（2）地  址：</w:t>
      </w:r>
      <w:r>
        <w:rPr>
          <w:rFonts w:hint="eastAsia" w:ascii="宋体" w:hAnsi="宋体"/>
          <w:color w:val="auto"/>
          <w:szCs w:val="21"/>
          <w:highlight w:val="none"/>
          <w:u w:val="single"/>
          <w:lang w:eastAsia="zh-CN"/>
        </w:rPr>
        <w:t>长沙市雨花区金海路128号天鉴大厦</w:t>
      </w:r>
    </w:p>
    <w:p w14:paraId="18243356">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（3）联系人：</w:t>
      </w:r>
      <w:r>
        <w:rPr>
          <w:rFonts w:hint="eastAsia" w:ascii="宋体" w:hAnsi="宋体"/>
          <w:color w:val="auto"/>
          <w:szCs w:val="21"/>
          <w:highlight w:val="none"/>
          <w:u w:val="single"/>
          <w:lang w:eastAsia="zh-CN"/>
        </w:rPr>
        <w:t>孔伶、唐文婷、李瑜、刘展</w:t>
      </w:r>
    </w:p>
    <w:p w14:paraId="6535D411">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（4）电  话：</w:t>
      </w:r>
      <w:r>
        <w:rPr>
          <w:rFonts w:hint="eastAsia" w:ascii="宋体" w:hAnsi="宋体"/>
          <w:color w:val="auto"/>
          <w:szCs w:val="21"/>
          <w:highlight w:val="none"/>
          <w:u w:val="single"/>
          <w:lang w:eastAsia="zh-CN"/>
        </w:rPr>
        <w:t>0731-85235479-8437、18711127719</w:t>
      </w:r>
    </w:p>
    <w:p w14:paraId="6A0B30F4">
      <w:pPr>
        <w:jc w:val="center"/>
        <w:rPr>
          <w:rFonts w:hint="eastAsia"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6BBBB"/>
    <w:multiLevelType w:val="singleLevel"/>
    <w:tmpl w:val="3916BB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87C8D"/>
    <w:rsid w:val="79887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style>
  <w:style w:type="paragraph" w:customStyle="1" w:styleId="5">
    <w:name w:val="正文1"/>
    <w:qFormat/>
    <w:uiPriority w:val="0"/>
    <w:pPr>
      <w:kinsoku w:val="0"/>
      <w:autoSpaceDE w:val="0"/>
      <w:adjustRightInd w:val="0"/>
      <w:snapToGrid w:val="0"/>
      <w:spacing w:line="360" w:lineRule="auto"/>
      <w:ind w:firstLine="480" w:firstLineChars="200"/>
      <w:textAlignment w:val="baseline"/>
    </w:pPr>
    <w:rPr>
      <w:rFonts w:ascii="Times New Roman" w:hAnsi="Times New Roman" w:eastAsia="宋体" w:cs="Times New Roman"/>
      <w:snapToGrid w:val="0"/>
      <w:color w:val="000000"/>
      <w:sz w:val="24"/>
      <w:szCs w:val="24"/>
      <w:lang w:val="en-US" w:eastAsia="zh-CN" w:bidi="ar-SA"/>
    </w:rPr>
  </w:style>
  <w:style w:type="paragraph" w:styleId="6">
    <w:name w:val="Body Text"/>
    <w:basedOn w:val="1"/>
    <w:qFormat/>
    <w:uiPriority w:val="0"/>
    <w:pPr>
      <w:spacing w:after="120"/>
    </w:pPr>
  </w:style>
  <w:style w:type="paragraph" w:customStyle="1" w:styleId="9">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2025-06-12T02:48:00Z</dcterms:created>
  <dc:creator>41188</dc:creator>
  <cp:lastModifiedBy>41188</cp:lastModifiedBy>
  <dcterms:modified xsi:type="dcterms:W3CDTF">2025-06-12T02:55:47Z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08567477453142F69D2F6A57B81C9A03_11</vt:lpwstr>
  </property>
  <property fmtid="{D5CDD505-2E9C-101B-9397-08002B2CF9AE}" pid="4" name="KSOTemplateDocerSaveRecord">
    <vt:lpwstr>eyJoZGlkIjoiMjRhZmFkOGY5MzFmNTg5YTgxYTk1NWFhN2E4MjQxOWIiLCJ1c2VySWQiOiI0MTQ5MTQ4NzgifQ==</vt:lpwstr>
  </property>
</Properties>
</file>