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6A56F2">
      <w:pPr>
        <w:pStyle w:val="2"/>
        <w:adjustRightInd w:val="0"/>
        <w:snapToGrid w:val="0"/>
        <w:spacing w:line="360" w:lineRule="auto"/>
        <w:ind w:right="1273" w:rightChars="606" w:firstLine="562" w:firstLineChars="200"/>
        <w:jc w:val="center"/>
        <w:rPr>
          <w:rFonts w:hint="eastAsia" w:asciiTheme="minorEastAsia" w:hAnsiTheme="minorEastAsia" w:eastAsiaTheme="minorEastAsia" w:cstheme="minorEastAsia"/>
          <w:color w:val="auto"/>
          <w:szCs w:val="21"/>
          <w:u w:val="single"/>
        </w:rPr>
      </w:pPr>
      <w:r>
        <w:rPr>
          <w:rFonts w:hint="eastAsia" w:asciiTheme="minorEastAsia" w:hAnsiTheme="minorEastAsia" w:eastAsiaTheme="minorEastAsia" w:cstheme="minorEastAsia"/>
          <w:b/>
          <w:bCs/>
          <w:color w:val="auto"/>
          <w:sz w:val="28"/>
          <w:szCs w:val="28"/>
          <w:lang w:val="en-US" w:eastAsia="zh-CN"/>
        </w:rPr>
        <w:t>湖南省工业贸易学校第二教学楼及学生第二公寓建筑外立面改造项目竞争性磋商公告</w:t>
      </w:r>
    </w:p>
    <w:p w14:paraId="627C077C">
      <w:pPr>
        <w:adjustRightInd w:val="0"/>
        <w:snapToGrid w:val="0"/>
        <w:spacing w:line="360" w:lineRule="auto"/>
        <w:ind w:firstLine="420" w:firstLineChars="200"/>
        <w:rPr>
          <w:rFonts w:hint="eastAsia" w:asciiTheme="minorEastAsia" w:hAnsiTheme="minorEastAsia" w:eastAsiaTheme="minorEastAsia" w:cstheme="minorEastAsia"/>
          <w:color w:val="auto"/>
          <w:szCs w:val="21"/>
          <w:u w:val="single"/>
        </w:rPr>
      </w:pPr>
    </w:p>
    <w:p w14:paraId="5387C0AD">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u w:val="single"/>
        </w:rPr>
        <w:t>天鉴国际工程管理有限公司</w:t>
      </w:r>
      <w:r>
        <w:rPr>
          <w:rFonts w:hint="eastAsia" w:asciiTheme="minorEastAsia" w:hAnsiTheme="minorEastAsia" w:eastAsiaTheme="minorEastAsia" w:cstheme="minorEastAsia"/>
          <w:color w:val="auto"/>
          <w:szCs w:val="21"/>
        </w:rPr>
        <w:t>受</w:t>
      </w:r>
      <w:r>
        <w:rPr>
          <w:rFonts w:hint="eastAsia" w:asciiTheme="minorEastAsia" w:hAnsiTheme="minorEastAsia" w:eastAsiaTheme="minorEastAsia" w:cstheme="minorEastAsia"/>
          <w:color w:val="auto"/>
          <w:szCs w:val="21"/>
          <w:u w:val="single"/>
        </w:rPr>
        <w:t>湖南</w:t>
      </w:r>
      <w:r>
        <w:rPr>
          <w:rFonts w:hint="eastAsia" w:asciiTheme="minorEastAsia" w:hAnsiTheme="minorEastAsia" w:eastAsiaTheme="minorEastAsia" w:cstheme="minorEastAsia"/>
          <w:color w:val="auto"/>
          <w:szCs w:val="21"/>
          <w:u w:val="single"/>
          <w:lang w:val="en-US" w:eastAsia="zh-CN"/>
        </w:rPr>
        <w:t>省工业贸易学校</w:t>
      </w:r>
      <w:r>
        <w:rPr>
          <w:rFonts w:hint="eastAsia" w:asciiTheme="minorEastAsia" w:hAnsiTheme="minorEastAsia" w:eastAsiaTheme="minorEastAsia" w:cstheme="minorEastAsia"/>
          <w:color w:val="auto"/>
          <w:szCs w:val="21"/>
        </w:rPr>
        <w:t>的委托，对</w:t>
      </w:r>
      <w:r>
        <w:rPr>
          <w:rFonts w:hint="eastAsia" w:asciiTheme="minorEastAsia" w:hAnsiTheme="minorEastAsia" w:eastAsiaTheme="minorEastAsia" w:cstheme="minorEastAsia"/>
          <w:color w:val="auto"/>
          <w:szCs w:val="21"/>
          <w:u w:val="single"/>
          <w:lang w:val="en-US" w:eastAsia="zh-CN"/>
        </w:rPr>
        <w:t xml:space="preserve"> 湖南省工业贸易学校第二教学楼及学生第二公寓建筑外立面改造项目</w:t>
      </w:r>
      <w:r>
        <w:rPr>
          <w:rFonts w:hint="eastAsia" w:asciiTheme="minorEastAsia" w:hAnsiTheme="minorEastAsia" w:eastAsiaTheme="minorEastAsia" w:cstheme="minorEastAsia"/>
          <w:color w:val="auto"/>
          <w:szCs w:val="21"/>
          <w:u w:val="single"/>
          <w:lang w:eastAsia="zh-CN"/>
        </w:rPr>
        <w:t xml:space="preserve"> </w:t>
      </w:r>
      <w:r>
        <w:rPr>
          <w:rFonts w:hint="eastAsia" w:asciiTheme="minorEastAsia" w:hAnsiTheme="minorEastAsia" w:eastAsiaTheme="minorEastAsia" w:cstheme="minorEastAsia"/>
          <w:color w:val="auto"/>
          <w:szCs w:val="21"/>
        </w:rPr>
        <w:t>进行竞争性磋商采购</w:t>
      </w:r>
      <w:r>
        <w:rPr>
          <w:rFonts w:hint="eastAsia" w:asciiTheme="minorEastAsia" w:hAnsiTheme="minorEastAsia" w:eastAsiaTheme="minorEastAsia" w:cstheme="minorEastAsia"/>
          <w:color w:val="auto"/>
          <w:szCs w:val="21"/>
          <w:highlight w:val="none"/>
        </w:rPr>
        <w:t>，现采用</w:t>
      </w:r>
      <w:r>
        <w:rPr>
          <w:rFonts w:hint="eastAsia" w:asciiTheme="minorEastAsia" w:hAnsiTheme="minorEastAsia" w:eastAsiaTheme="minorEastAsia" w:cstheme="minorEastAsia"/>
          <w:color w:val="auto"/>
          <w:szCs w:val="21"/>
          <w:highlight w:val="none"/>
          <w:lang w:val="en-US" w:eastAsia="zh-CN"/>
        </w:rPr>
        <w:t>公告邀请</w:t>
      </w:r>
      <w:r>
        <w:rPr>
          <w:rFonts w:hint="eastAsia" w:asciiTheme="minorEastAsia" w:hAnsiTheme="minorEastAsia" w:eastAsiaTheme="minorEastAsia" w:cstheme="minorEastAsia"/>
          <w:color w:val="auto"/>
          <w:szCs w:val="21"/>
          <w:highlight w:val="none"/>
        </w:rPr>
        <w:t>的方式，邀请符合资格条件的供应商参与竞争性磋商采购活动。</w:t>
      </w:r>
    </w:p>
    <w:p w14:paraId="57396A6A">
      <w:pPr>
        <w:adjustRightInd w:val="0"/>
        <w:snapToGrid w:val="0"/>
        <w:spacing w:line="360" w:lineRule="auto"/>
        <w:outlineLvl w:val="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b/>
          <w:color w:val="auto"/>
          <w:szCs w:val="21"/>
        </w:rPr>
        <w:t>一、采购项目的名称、数量、简要规格描述或项目基本概况介绍</w:t>
      </w:r>
    </w:p>
    <w:p w14:paraId="65892E2E">
      <w:pPr>
        <w:pStyle w:val="2"/>
        <w:adjustRightInd w:val="0"/>
        <w:snapToGrid w:val="0"/>
        <w:spacing w:line="360" w:lineRule="auto"/>
        <w:ind w:right="1273" w:rightChars="606" w:firstLine="420" w:firstLineChars="200"/>
        <w:rPr>
          <w:rFonts w:hint="eastAsia" w:asciiTheme="minorEastAsia" w:hAnsiTheme="minorEastAsia" w:eastAsiaTheme="minorEastAsia" w:cstheme="minorEastAsia"/>
          <w:color w:val="auto"/>
          <w:szCs w:val="21"/>
          <w:lang w:eastAsia="zh-CN"/>
        </w:rPr>
      </w:pPr>
      <w:r>
        <w:rPr>
          <w:rFonts w:hint="eastAsia" w:asciiTheme="minorEastAsia" w:hAnsiTheme="minorEastAsia" w:eastAsiaTheme="minorEastAsia" w:cstheme="minorEastAsia"/>
          <w:color w:val="auto"/>
          <w:szCs w:val="21"/>
        </w:rPr>
        <w:t>1、项目名称：</w:t>
      </w:r>
      <w:r>
        <w:rPr>
          <w:rFonts w:hint="eastAsia" w:asciiTheme="minorEastAsia" w:hAnsiTheme="minorEastAsia" w:eastAsiaTheme="minorEastAsia" w:cstheme="minorEastAsia"/>
          <w:color w:val="auto"/>
          <w:szCs w:val="21"/>
          <w:lang w:val="en-US" w:eastAsia="zh-CN"/>
        </w:rPr>
        <w:t>湖南省工业贸易学校第二教学楼及学生第二公寓建筑外立面改造项目</w:t>
      </w:r>
    </w:p>
    <w:p w14:paraId="7372C1AE">
      <w:pPr>
        <w:adjustRightInd w:val="0"/>
        <w:snapToGrid w:val="0"/>
        <w:spacing w:line="360" w:lineRule="auto"/>
        <w:ind w:firstLine="420" w:firstLineChars="200"/>
        <w:outlineLvl w:val="0"/>
        <w:rPr>
          <w:rFonts w:hint="default" w:asciiTheme="minorEastAsia" w:hAnsiTheme="minorEastAsia" w:eastAsiaTheme="minorEastAsia" w:cstheme="minorEastAsia"/>
          <w:color w:val="auto"/>
          <w:szCs w:val="21"/>
          <w:lang w:val="en-US" w:eastAsia="zh-CN"/>
        </w:rPr>
      </w:pPr>
      <w:r>
        <w:rPr>
          <w:rFonts w:hint="eastAsia" w:asciiTheme="minorEastAsia" w:hAnsiTheme="minorEastAsia" w:eastAsiaTheme="minorEastAsia" w:cstheme="minorEastAsia"/>
          <w:color w:val="auto"/>
          <w:szCs w:val="21"/>
        </w:rPr>
        <w:t>2、委托代理编号：</w:t>
      </w:r>
      <w:r>
        <w:rPr>
          <w:rFonts w:hint="eastAsia" w:asciiTheme="minorEastAsia" w:hAnsiTheme="minorEastAsia" w:eastAsiaTheme="minorEastAsia" w:cstheme="minorEastAsia"/>
          <w:color w:val="auto"/>
          <w:szCs w:val="21"/>
          <w:lang w:eastAsia="zh-CN"/>
        </w:rPr>
        <w:t>TJGJCS202</w:t>
      </w:r>
      <w:r>
        <w:rPr>
          <w:rFonts w:hint="eastAsia" w:asciiTheme="minorEastAsia" w:hAnsiTheme="minorEastAsia" w:eastAsiaTheme="minorEastAsia" w:cstheme="minorEastAsia"/>
          <w:color w:val="auto"/>
          <w:szCs w:val="21"/>
          <w:lang w:val="en-US" w:eastAsia="zh-CN"/>
        </w:rPr>
        <w:t>6</w:t>
      </w:r>
      <w:r>
        <w:rPr>
          <w:rFonts w:hint="eastAsia" w:asciiTheme="minorEastAsia" w:hAnsiTheme="minorEastAsia" w:eastAsiaTheme="minorEastAsia" w:cstheme="minorEastAsia"/>
          <w:color w:val="auto"/>
          <w:szCs w:val="21"/>
          <w:lang w:eastAsia="zh-CN"/>
        </w:rPr>
        <w:t>-</w:t>
      </w:r>
      <w:r>
        <w:rPr>
          <w:rFonts w:hint="eastAsia" w:asciiTheme="minorEastAsia" w:hAnsiTheme="minorEastAsia" w:eastAsiaTheme="minorEastAsia" w:cstheme="minorEastAsia"/>
          <w:color w:val="auto"/>
          <w:szCs w:val="21"/>
          <w:lang w:val="en-US" w:eastAsia="zh-CN"/>
        </w:rPr>
        <w:t>349</w:t>
      </w:r>
    </w:p>
    <w:p w14:paraId="05714341">
      <w:pPr>
        <w:pStyle w:val="2"/>
        <w:adjustRightInd w:val="0"/>
        <w:snapToGrid w:val="0"/>
        <w:spacing w:line="360" w:lineRule="auto"/>
        <w:ind w:right="1273" w:rightChars="606" w:firstLine="420" w:firstLineChars="200"/>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Cs w:val="21"/>
        </w:rPr>
        <w:t>3、采购项目预算</w:t>
      </w:r>
      <w:r>
        <w:rPr>
          <w:rFonts w:hint="eastAsia" w:asciiTheme="minorEastAsia" w:hAnsiTheme="minorEastAsia" w:eastAsiaTheme="minorEastAsia" w:cstheme="minorEastAsia"/>
          <w:b/>
          <w:bCs/>
          <w:color w:val="auto"/>
          <w:szCs w:val="21"/>
        </w:rPr>
        <w:t>：</w:t>
      </w:r>
      <w:r>
        <w:rPr>
          <w:rFonts w:hint="eastAsia" w:asciiTheme="minorEastAsia" w:hAnsiTheme="minorEastAsia" w:eastAsiaTheme="minorEastAsia" w:cstheme="minorEastAsia"/>
          <w:b/>
          <w:bCs/>
          <w:color w:val="auto"/>
          <w:kern w:val="2"/>
          <w:sz w:val="21"/>
          <w:szCs w:val="21"/>
          <w:lang w:val="en-US" w:eastAsia="zh-CN" w:bidi="ar-SA"/>
        </w:rPr>
        <w:t>709380.10</w:t>
      </w:r>
      <w:r>
        <w:rPr>
          <w:rFonts w:hint="eastAsia" w:asciiTheme="minorEastAsia" w:hAnsiTheme="minorEastAsia" w:eastAsiaTheme="minorEastAsia" w:cstheme="minorEastAsia"/>
          <w:color w:val="auto"/>
          <w:kern w:val="2"/>
          <w:sz w:val="21"/>
          <w:szCs w:val="21"/>
          <w:lang w:val="en-US" w:eastAsia="zh-CN" w:bidi="ar-SA"/>
        </w:rPr>
        <w:t>元</w:t>
      </w:r>
    </w:p>
    <w:p w14:paraId="3F004662">
      <w:pPr>
        <w:pStyle w:val="2"/>
        <w:adjustRightInd w:val="0"/>
        <w:snapToGrid w:val="0"/>
        <w:spacing w:line="360" w:lineRule="auto"/>
        <w:ind w:right="1273" w:rightChars="606"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lang w:val="en-US" w:eastAsia="zh-CN"/>
        </w:rPr>
        <w:t>4、</w:t>
      </w:r>
      <w:r>
        <w:rPr>
          <w:rFonts w:hint="eastAsia" w:asciiTheme="minorEastAsia" w:hAnsiTheme="minorEastAsia" w:eastAsiaTheme="minorEastAsia" w:cstheme="minorEastAsia"/>
          <w:color w:val="auto"/>
          <w:szCs w:val="21"/>
        </w:rPr>
        <w:t>采购项目标的、数量及简要规格描述或项目基本概况介绍：</w:t>
      </w:r>
    </w:p>
    <w:tbl>
      <w:tblPr>
        <w:tblStyle w:val="4"/>
        <w:tblW w:w="9196" w:type="dxa"/>
        <w:tblInd w:w="10" w:type="dxa"/>
        <w:tblBorders>
          <w:top w:val="double" w:color="auto" w:sz="2" w:space="0"/>
          <w:left w:val="double" w:color="auto" w:sz="2" w:space="0"/>
          <w:bottom w:val="double" w:color="auto" w:sz="2" w:space="0"/>
          <w:right w:val="double" w:color="auto" w:sz="2" w:space="0"/>
          <w:insideH w:val="single" w:color="auto" w:sz="6" w:space="0"/>
          <w:insideV w:val="single" w:color="auto" w:sz="6" w:space="0"/>
        </w:tblBorders>
        <w:tblLayout w:type="fixed"/>
        <w:tblCellMar>
          <w:top w:w="0" w:type="dxa"/>
          <w:left w:w="108" w:type="dxa"/>
          <w:bottom w:w="0" w:type="dxa"/>
          <w:right w:w="108" w:type="dxa"/>
        </w:tblCellMar>
      </w:tblPr>
      <w:tblGrid>
        <w:gridCol w:w="720"/>
        <w:gridCol w:w="2762"/>
        <w:gridCol w:w="1655"/>
        <w:gridCol w:w="829"/>
        <w:gridCol w:w="1554"/>
        <w:gridCol w:w="1676"/>
      </w:tblGrid>
      <w:tr w14:paraId="208FAD4F">
        <w:tblPrEx>
          <w:tblBorders>
            <w:top w:val="double" w:color="auto" w:sz="2" w:space="0"/>
            <w:left w:val="double" w:color="auto" w:sz="2" w:space="0"/>
            <w:bottom w:val="double" w:color="auto" w:sz="2" w:space="0"/>
            <w:right w:val="double" w:color="auto" w:sz="2" w:space="0"/>
            <w:insideH w:val="single" w:color="auto" w:sz="6" w:space="0"/>
            <w:insideV w:val="single" w:color="auto" w:sz="6" w:space="0"/>
          </w:tblBorders>
          <w:tblCellMar>
            <w:top w:w="0" w:type="dxa"/>
            <w:left w:w="108" w:type="dxa"/>
            <w:bottom w:w="0" w:type="dxa"/>
            <w:right w:w="108" w:type="dxa"/>
          </w:tblCellMar>
        </w:tblPrEx>
        <w:trPr>
          <w:trHeight w:val="1065" w:hRule="atLeast"/>
        </w:trPr>
        <w:tc>
          <w:tcPr>
            <w:tcW w:w="720" w:type="dxa"/>
            <w:tcBorders>
              <w:top w:val="double" w:color="auto" w:sz="2" w:space="0"/>
              <w:left w:val="double" w:color="auto" w:sz="2" w:space="0"/>
              <w:bottom w:val="single" w:color="auto" w:sz="6" w:space="0"/>
              <w:right w:val="single" w:color="auto" w:sz="4" w:space="0"/>
            </w:tcBorders>
            <w:noWrap w:val="0"/>
            <w:vAlign w:val="center"/>
          </w:tcPr>
          <w:p w14:paraId="38546AA3">
            <w:pPr>
              <w:adjustRightInd w:val="0"/>
              <w:snapToGrid w:val="0"/>
              <w:spacing w:line="360" w:lineRule="auto"/>
              <w:outlineLvl w:val="0"/>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包号</w:t>
            </w:r>
          </w:p>
        </w:tc>
        <w:tc>
          <w:tcPr>
            <w:tcW w:w="2762" w:type="dxa"/>
            <w:tcBorders>
              <w:top w:val="double" w:color="auto" w:sz="2" w:space="0"/>
              <w:left w:val="single" w:color="auto" w:sz="4" w:space="0"/>
              <w:bottom w:val="single" w:color="auto" w:sz="6" w:space="0"/>
              <w:right w:val="single" w:color="auto" w:sz="6" w:space="0"/>
            </w:tcBorders>
            <w:noWrap w:val="0"/>
            <w:vAlign w:val="center"/>
          </w:tcPr>
          <w:p w14:paraId="0930550A">
            <w:pPr>
              <w:widowControl/>
              <w:adjustRightInd w:val="0"/>
              <w:snapToGrid w:val="0"/>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包名称</w:t>
            </w:r>
          </w:p>
        </w:tc>
        <w:tc>
          <w:tcPr>
            <w:tcW w:w="1655" w:type="dxa"/>
            <w:tcBorders>
              <w:top w:val="double" w:color="auto" w:sz="2" w:space="0"/>
              <w:left w:val="single" w:color="auto" w:sz="6" w:space="0"/>
              <w:bottom w:val="single" w:color="auto" w:sz="6" w:space="0"/>
              <w:right w:val="single" w:color="auto" w:sz="4" w:space="0"/>
            </w:tcBorders>
            <w:noWrap w:val="0"/>
            <w:vAlign w:val="center"/>
          </w:tcPr>
          <w:p w14:paraId="1C215F2C">
            <w:pPr>
              <w:widowControl/>
              <w:adjustRightInd w:val="0"/>
              <w:snapToGrid w:val="0"/>
              <w:spacing w:before="156" w:beforeLines="50"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简要技术要求</w:t>
            </w:r>
          </w:p>
        </w:tc>
        <w:tc>
          <w:tcPr>
            <w:tcW w:w="829" w:type="dxa"/>
            <w:tcBorders>
              <w:top w:val="double" w:color="auto" w:sz="2" w:space="0"/>
              <w:left w:val="single" w:color="auto" w:sz="4" w:space="0"/>
              <w:bottom w:val="single" w:color="auto" w:sz="6" w:space="0"/>
              <w:right w:val="single" w:color="auto" w:sz="4" w:space="0"/>
            </w:tcBorders>
            <w:noWrap w:val="0"/>
            <w:vAlign w:val="center"/>
          </w:tcPr>
          <w:p w14:paraId="5C7EE2E4">
            <w:pPr>
              <w:widowControl/>
              <w:adjustRightInd w:val="0"/>
              <w:snapToGrid w:val="0"/>
              <w:spacing w:before="156" w:beforeLines="50"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数量</w:t>
            </w:r>
          </w:p>
        </w:tc>
        <w:tc>
          <w:tcPr>
            <w:tcW w:w="1554" w:type="dxa"/>
            <w:tcBorders>
              <w:top w:val="double" w:color="auto" w:sz="2" w:space="0"/>
              <w:left w:val="single" w:color="auto" w:sz="4" w:space="0"/>
              <w:bottom w:val="single" w:color="auto" w:sz="6" w:space="0"/>
              <w:right w:val="single" w:color="auto" w:sz="4" w:space="0"/>
            </w:tcBorders>
            <w:noWrap w:val="0"/>
            <w:vAlign w:val="center"/>
          </w:tcPr>
          <w:p w14:paraId="1B356358">
            <w:pPr>
              <w:widowControl/>
              <w:adjustRightInd w:val="0"/>
              <w:snapToGrid w:val="0"/>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采购项目预算（元人民币）</w:t>
            </w:r>
          </w:p>
        </w:tc>
        <w:tc>
          <w:tcPr>
            <w:tcW w:w="1676" w:type="dxa"/>
            <w:tcBorders>
              <w:top w:val="double" w:color="auto" w:sz="2" w:space="0"/>
              <w:left w:val="single" w:color="auto" w:sz="4" w:space="0"/>
              <w:bottom w:val="single" w:color="auto" w:sz="6" w:space="0"/>
              <w:right w:val="single" w:color="auto" w:sz="6" w:space="0"/>
            </w:tcBorders>
            <w:noWrap w:val="0"/>
            <w:vAlign w:val="center"/>
          </w:tcPr>
          <w:p w14:paraId="27762876">
            <w:pPr>
              <w:widowControl/>
              <w:adjustRightInd w:val="0"/>
              <w:snapToGrid w:val="0"/>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采购项目最高限价（元人民币）</w:t>
            </w:r>
          </w:p>
        </w:tc>
      </w:tr>
      <w:tr w14:paraId="09EEADC1">
        <w:tblPrEx>
          <w:tblBorders>
            <w:top w:val="double" w:color="auto" w:sz="2" w:space="0"/>
            <w:left w:val="double" w:color="auto" w:sz="2" w:space="0"/>
            <w:bottom w:val="double" w:color="auto" w:sz="2" w:space="0"/>
            <w:right w:val="double" w:color="auto" w:sz="2" w:space="0"/>
            <w:insideH w:val="single" w:color="auto" w:sz="6" w:space="0"/>
            <w:insideV w:val="single" w:color="auto" w:sz="6" w:space="0"/>
          </w:tblBorders>
          <w:tblCellMar>
            <w:top w:w="0" w:type="dxa"/>
            <w:left w:w="108" w:type="dxa"/>
            <w:bottom w:w="0" w:type="dxa"/>
            <w:right w:w="108" w:type="dxa"/>
          </w:tblCellMar>
        </w:tblPrEx>
        <w:trPr>
          <w:trHeight w:val="860" w:hRule="atLeast"/>
        </w:trPr>
        <w:tc>
          <w:tcPr>
            <w:tcW w:w="720" w:type="dxa"/>
            <w:tcBorders>
              <w:top w:val="single" w:color="auto" w:sz="6" w:space="0"/>
              <w:left w:val="double" w:color="auto" w:sz="2" w:space="0"/>
              <w:bottom w:val="single" w:color="auto" w:sz="6" w:space="0"/>
              <w:right w:val="single" w:color="auto" w:sz="4" w:space="0"/>
            </w:tcBorders>
            <w:noWrap w:val="0"/>
            <w:vAlign w:val="center"/>
          </w:tcPr>
          <w:p w14:paraId="26C1FBD3">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1</w:t>
            </w:r>
          </w:p>
        </w:tc>
        <w:tc>
          <w:tcPr>
            <w:tcW w:w="2762" w:type="dxa"/>
            <w:tcBorders>
              <w:top w:val="single" w:color="auto" w:sz="6" w:space="0"/>
              <w:left w:val="single" w:color="auto" w:sz="4" w:space="0"/>
              <w:bottom w:val="single" w:color="auto" w:sz="6" w:space="0"/>
              <w:right w:val="single" w:color="auto" w:sz="6" w:space="0"/>
            </w:tcBorders>
            <w:noWrap w:val="0"/>
            <w:vAlign w:val="center"/>
          </w:tcPr>
          <w:p w14:paraId="19F6D903">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Cs w:val="21"/>
                <w:lang w:val="en-US" w:eastAsia="zh-CN"/>
              </w:rPr>
              <w:t>湖南省工业贸易学校第二教学楼及学生第二公寓建筑外立面改造项目</w:t>
            </w:r>
            <w:r>
              <w:rPr>
                <w:rFonts w:hint="eastAsia" w:asciiTheme="minorEastAsia" w:hAnsiTheme="minorEastAsia" w:eastAsiaTheme="minorEastAsia" w:cstheme="minorEastAsia"/>
                <w:color w:val="auto"/>
                <w:kern w:val="2"/>
                <w:sz w:val="21"/>
                <w:szCs w:val="21"/>
                <w:lang w:val="en-US" w:eastAsia="zh-CN" w:bidi="ar-SA"/>
              </w:rPr>
              <w:t xml:space="preserve"> </w:t>
            </w:r>
          </w:p>
        </w:tc>
        <w:tc>
          <w:tcPr>
            <w:tcW w:w="1655" w:type="dxa"/>
            <w:tcBorders>
              <w:top w:val="single" w:color="auto" w:sz="6" w:space="0"/>
              <w:left w:val="single" w:color="auto" w:sz="6" w:space="0"/>
              <w:bottom w:val="single" w:color="auto" w:sz="6" w:space="0"/>
              <w:right w:val="single" w:color="auto" w:sz="4" w:space="0"/>
            </w:tcBorders>
            <w:noWrap w:val="0"/>
            <w:vAlign w:val="center"/>
          </w:tcPr>
          <w:p w14:paraId="75ADA174">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详见采购需求</w:t>
            </w:r>
          </w:p>
        </w:tc>
        <w:tc>
          <w:tcPr>
            <w:tcW w:w="829" w:type="dxa"/>
            <w:tcBorders>
              <w:top w:val="single" w:color="auto" w:sz="6" w:space="0"/>
              <w:left w:val="single" w:color="auto" w:sz="4" w:space="0"/>
              <w:bottom w:val="single" w:color="auto" w:sz="6" w:space="0"/>
              <w:right w:val="single" w:color="auto" w:sz="4" w:space="0"/>
            </w:tcBorders>
            <w:noWrap w:val="0"/>
            <w:vAlign w:val="center"/>
          </w:tcPr>
          <w:p w14:paraId="45003EEE">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1</w:t>
            </w:r>
          </w:p>
        </w:tc>
        <w:tc>
          <w:tcPr>
            <w:tcW w:w="1554" w:type="dxa"/>
            <w:tcBorders>
              <w:top w:val="single" w:color="auto" w:sz="6" w:space="0"/>
              <w:left w:val="single" w:color="auto" w:sz="4" w:space="0"/>
              <w:bottom w:val="single" w:color="auto" w:sz="6" w:space="0"/>
              <w:right w:val="single" w:color="auto" w:sz="4" w:space="0"/>
            </w:tcBorders>
            <w:noWrap w:val="0"/>
            <w:vAlign w:val="center"/>
          </w:tcPr>
          <w:p w14:paraId="5DB43A86">
            <w:pPr>
              <w:widowControl w:val="0"/>
              <w:adjustRightInd w:val="0"/>
              <w:snapToGrid w:val="0"/>
              <w:spacing w:line="360" w:lineRule="auto"/>
              <w:jc w:val="center"/>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709380.10</w:t>
            </w:r>
          </w:p>
        </w:tc>
        <w:tc>
          <w:tcPr>
            <w:tcW w:w="1676" w:type="dxa"/>
            <w:tcBorders>
              <w:top w:val="single" w:color="auto" w:sz="6" w:space="0"/>
              <w:left w:val="single" w:color="auto" w:sz="4" w:space="0"/>
              <w:bottom w:val="single" w:color="auto" w:sz="6" w:space="0"/>
              <w:right w:val="single" w:color="auto" w:sz="6" w:space="0"/>
            </w:tcBorders>
            <w:noWrap w:val="0"/>
            <w:vAlign w:val="center"/>
          </w:tcPr>
          <w:p w14:paraId="545E4E26">
            <w:pPr>
              <w:widowControl w:val="0"/>
              <w:adjustRightInd w:val="0"/>
              <w:snapToGrid w:val="0"/>
              <w:spacing w:line="360" w:lineRule="auto"/>
              <w:jc w:val="center"/>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700986.30</w:t>
            </w:r>
          </w:p>
        </w:tc>
      </w:tr>
    </w:tbl>
    <w:p w14:paraId="48BE7F56">
      <w:pPr>
        <w:adjustRightInd w:val="0"/>
        <w:snapToGrid w:val="0"/>
        <w:spacing w:line="360" w:lineRule="auto"/>
        <w:ind w:firstLine="211" w:firstLineChars="100"/>
        <w:outlineLvl w:val="0"/>
        <w:rPr>
          <w:rFonts w:hint="eastAsia" w:asciiTheme="minorEastAsia" w:hAnsiTheme="minorEastAsia" w:eastAsiaTheme="minorEastAsia" w:cstheme="minorEastAsia"/>
          <w:b/>
          <w:color w:val="auto"/>
          <w:szCs w:val="21"/>
          <w:lang w:val="en-US" w:eastAsia="zh-CN"/>
        </w:rPr>
      </w:pPr>
    </w:p>
    <w:p w14:paraId="4B2D2171">
      <w:pPr>
        <w:adjustRightInd w:val="0"/>
        <w:snapToGrid w:val="0"/>
        <w:spacing w:line="360" w:lineRule="auto"/>
        <w:outlineLvl w:val="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b/>
          <w:color w:val="auto"/>
          <w:szCs w:val="21"/>
        </w:rPr>
        <w:t>二、供应商资格条件：</w:t>
      </w:r>
    </w:p>
    <w:p w14:paraId="6CE5168C">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w:t>
      </w:r>
      <w:r>
        <w:rPr>
          <w:rFonts w:hint="eastAsia" w:asciiTheme="minorEastAsia" w:hAnsiTheme="minorEastAsia" w:eastAsiaTheme="minorEastAsia" w:cstheme="minorEastAsia"/>
          <w:color w:val="auto"/>
          <w:szCs w:val="21"/>
          <w:highlight w:val="none"/>
          <w:lang w:val="en-US" w:eastAsia="zh-CN"/>
        </w:rPr>
        <w:t>供应商</w:t>
      </w:r>
      <w:r>
        <w:rPr>
          <w:rFonts w:hint="eastAsia" w:asciiTheme="minorEastAsia" w:hAnsiTheme="minorEastAsia" w:eastAsiaTheme="minorEastAsia" w:cstheme="minorEastAsia"/>
          <w:color w:val="auto"/>
          <w:szCs w:val="21"/>
          <w:highlight w:val="none"/>
        </w:rPr>
        <w:t>的基本资格条件：应当符合《政府采购法》第二十二条第一款的规定，即：</w:t>
      </w:r>
    </w:p>
    <w:p w14:paraId="4584A73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（1）具有独立承担民事责任的能力；</w:t>
      </w:r>
    </w:p>
    <w:p w14:paraId="6AEAE0E3">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（2）具有良好的商业信誉和健全的财务会计制度；</w:t>
      </w:r>
    </w:p>
    <w:p w14:paraId="444E0FE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（3）具有履行合同所必需的设备和专业技术能力；</w:t>
      </w:r>
    </w:p>
    <w:p w14:paraId="49249AAC">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（4）有依法缴纳税收和社会保障资金的良好记录。</w:t>
      </w:r>
    </w:p>
    <w:p w14:paraId="364A9A4D">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（5）参加政府采购活动前三年内，在经营活动中没有重大违法记录。</w:t>
      </w:r>
    </w:p>
    <w:p w14:paraId="782E91C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（6）法律、行政法规规定的其他条件。</w:t>
      </w:r>
    </w:p>
    <w:p w14:paraId="54221AEA">
      <w:pPr>
        <w:adjustRightInd w:val="0"/>
        <w:snapToGrid w:val="0"/>
        <w:spacing w:line="360" w:lineRule="auto"/>
        <w:ind w:firstLine="422" w:firstLineChars="200"/>
        <w:outlineLvl w:val="0"/>
        <w:rPr>
          <w:rFonts w:hint="eastAsia" w:asciiTheme="minorEastAsia" w:hAnsiTheme="minorEastAsia" w:eastAsiaTheme="minorEastAsia" w:cstheme="minorEastAsia"/>
          <w:b/>
          <w:bCs/>
          <w:i w:val="0"/>
          <w:iCs w:val="0"/>
          <w:caps w:val="0"/>
          <w:color w:val="auto"/>
          <w:spacing w:val="0"/>
          <w:sz w:val="21"/>
          <w:szCs w:val="21"/>
          <w:lang w:val="en-US" w:eastAsia="zh-CN"/>
        </w:rPr>
      </w:pPr>
      <w:r>
        <w:rPr>
          <w:rFonts w:hint="eastAsia" w:asciiTheme="minorEastAsia" w:hAnsiTheme="minorEastAsia" w:eastAsiaTheme="minorEastAsia" w:cstheme="minorEastAsia"/>
          <w:b/>
          <w:bCs/>
          <w:color w:val="auto"/>
          <w:szCs w:val="21"/>
          <w:highlight w:val="none"/>
          <w:lang w:val="en-US" w:eastAsia="zh-CN"/>
        </w:rPr>
        <w:t>2</w:t>
      </w:r>
      <w:r>
        <w:rPr>
          <w:rFonts w:hint="eastAsia" w:asciiTheme="minorEastAsia" w:hAnsiTheme="minorEastAsia" w:eastAsiaTheme="minorEastAsia" w:cstheme="minorEastAsia"/>
          <w:b/>
          <w:bCs/>
          <w:color w:val="auto"/>
          <w:szCs w:val="21"/>
          <w:highlight w:val="none"/>
        </w:rPr>
        <w:t>、</w:t>
      </w:r>
      <w:r>
        <w:rPr>
          <w:rFonts w:hint="eastAsia" w:asciiTheme="minorEastAsia" w:hAnsiTheme="minorEastAsia" w:eastAsiaTheme="minorEastAsia" w:cstheme="minorEastAsia"/>
          <w:b/>
          <w:bCs/>
          <w:i w:val="0"/>
          <w:iCs w:val="0"/>
          <w:caps w:val="0"/>
          <w:color w:val="auto"/>
          <w:spacing w:val="0"/>
          <w:sz w:val="21"/>
          <w:szCs w:val="21"/>
          <w:lang w:val="en-US" w:eastAsia="zh-CN"/>
        </w:rPr>
        <w:t>供应商</w:t>
      </w:r>
      <w:r>
        <w:rPr>
          <w:rFonts w:hint="eastAsia" w:asciiTheme="minorEastAsia" w:hAnsiTheme="minorEastAsia" w:eastAsiaTheme="minorEastAsia" w:cstheme="minorEastAsia"/>
          <w:b/>
          <w:bCs/>
          <w:color w:val="auto"/>
          <w:szCs w:val="21"/>
          <w:highlight w:val="none"/>
        </w:rPr>
        <w:t>特定资格条件：</w:t>
      </w:r>
      <w:r>
        <w:rPr>
          <w:rFonts w:hint="eastAsia" w:asciiTheme="minorEastAsia" w:hAnsiTheme="minorEastAsia" w:eastAsiaTheme="minorEastAsia" w:cstheme="minorEastAsia"/>
          <w:b/>
          <w:bCs/>
          <w:i w:val="0"/>
          <w:iCs w:val="0"/>
          <w:caps w:val="0"/>
          <w:color w:val="auto"/>
          <w:spacing w:val="0"/>
          <w:sz w:val="21"/>
          <w:szCs w:val="21"/>
          <w:lang w:val="en-US" w:eastAsia="zh-CN"/>
        </w:rPr>
        <w:t xml:space="preserve"> </w:t>
      </w:r>
    </w:p>
    <w:p w14:paraId="1110C8C1">
      <w:pPr>
        <w:numPr>
          <w:ilvl w:val="0"/>
          <w:numId w:val="0"/>
        </w:num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2.1 具备建设行政主管部门颁发的</w:t>
      </w:r>
      <w:r>
        <w:rPr>
          <w:rFonts w:hint="eastAsia" w:asciiTheme="minorEastAsia" w:hAnsiTheme="minorEastAsia" w:eastAsiaTheme="minorEastAsia" w:cstheme="minorEastAsia"/>
          <w:b/>
          <w:bCs/>
          <w:color w:val="auto"/>
          <w:szCs w:val="21"/>
          <w:highlight w:val="none"/>
        </w:rPr>
        <w:t>建筑工程</w:t>
      </w:r>
      <w:r>
        <w:rPr>
          <w:rFonts w:hint="eastAsia" w:asciiTheme="minorEastAsia" w:hAnsiTheme="minorEastAsia" w:eastAsiaTheme="minorEastAsia" w:cstheme="minorEastAsia"/>
          <w:b/>
          <w:bCs/>
          <w:color w:val="auto"/>
          <w:szCs w:val="21"/>
          <w:highlight w:val="none"/>
          <w:lang w:eastAsia="zh-CN"/>
        </w:rPr>
        <w:t>施工总</w:t>
      </w:r>
      <w:r>
        <w:rPr>
          <w:rFonts w:hint="eastAsia" w:asciiTheme="minorEastAsia" w:hAnsiTheme="minorEastAsia" w:eastAsiaTheme="minorEastAsia" w:cstheme="minorEastAsia"/>
          <w:b/>
          <w:bCs/>
          <w:color w:val="auto"/>
          <w:szCs w:val="21"/>
          <w:highlight w:val="none"/>
        </w:rPr>
        <w:t>承包</w:t>
      </w:r>
      <w:r>
        <w:rPr>
          <w:rFonts w:hint="eastAsia" w:asciiTheme="minorEastAsia" w:hAnsiTheme="minorEastAsia" w:eastAsiaTheme="minorEastAsia" w:cstheme="minorEastAsia"/>
          <w:b/>
          <w:bCs/>
          <w:color w:val="auto"/>
          <w:szCs w:val="21"/>
          <w:highlight w:val="none"/>
          <w:lang w:eastAsia="zh-CN"/>
        </w:rPr>
        <w:t>三</w:t>
      </w:r>
      <w:r>
        <w:rPr>
          <w:rFonts w:hint="eastAsia" w:asciiTheme="minorEastAsia" w:hAnsiTheme="minorEastAsia" w:eastAsiaTheme="minorEastAsia" w:cstheme="minorEastAsia"/>
          <w:b/>
          <w:bCs/>
          <w:color w:val="auto"/>
          <w:szCs w:val="21"/>
          <w:highlight w:val="none"/>
        </w:rPr>
        <w:t>级及以上资质，</w:t>
      </w:r>
      <w:r>
        <w:rPr>
          <w:rFonts w:hint="eastAsia" w:asciiTheme="minorEastAsia" w:hAnsiTheme="minorEastAsia" w:eastAsiaTheme="minorEastAsia" w:cstheme="minorEastAsia"/>
          <w:b/>
          <w:bCs/>
          <w:color w:val="auto"/>
          <w:szCs w:val="21"/>
          <w:highlight w:val="none"/>
          <w:lang w:eastAsia="zh-CN"/>
        </w:rPr>
        <w:t>且</w:t>
      </w:r>
      <w:r>
        <w:rPr>
          <w:rFonts w:hint="eastAsia" w:asciiTheme="minorEastAsia" w:hAnsiTheme="minorEastAsia" w:eastAsiaTheme="minorEastAsia" w:cstheme="minorEastAsia"/>
          <w:b/>
          <w:bCs/>
          <w:color w:val="auto"/>
          <w:szCs w:val="21"/>
          <w:highlight w:val="none"/>
        </w:rPr>
        <w:t>安全生产许可证处于有效期</w:t>
      </w:r>
      <w:r>
        <w:rPr>
          <w:rFonts w:hint="eastAsia" w:asciiTheme="minorEastAsia" w:hAnsiTheme="minorEastAsia" w:eastAsiaTheme="minorEastAsia" w:cstheme="minorEastAsia"/>
          <w:b/>
          <w:bCs/>
          <w:color w:val="auto"/>
          <w:szCs w:val="21"/>
          <w:highlight w:val="none"/>
          <w:lang w:eastAsia="zh-CN"/>
        </w:rPr>
        <w:t>内</w:t>
      </w:r>
      <w:r>
        <w:rPr>
          <w:rFonts w:hint="eastAsia" w:asciiTheme="minorEastAsia" w:hAnsiTheme="minorEastAsia" w:eastAsiaTheme="minorEastAsia" w:cstheme="minorEastAsia"/>
          <w:b/>
          <w:bCs/>
          <w:color w:val="auto"/>
          <w:szCs w:val="21"/>
          <w:highlight w:val="none"/>
        </w:rPr>
        <w:t>；</w:t>
      </w:r>
      <w:r>
        <w:rPr>
          <w:rFonts w:hint="eastAsia" w:asciiTheme="minorEastAsia" w:hAnsiTheme="minorEastAsia" w:eastAsiaTheme="minorEastAsia" w:cstheme="minorEastAsia"/>
          <w:color w:val="auto"/>
          <w:szCs w:val="21"/>
          <w:highlight w:val="none"/>
          <w:lang w:val="en-US" w:eastAsia="zh-CN"/>
        </w:rPr>
        <w:t>并在人员、设备、资金等方面具备相应的施工能力；</w:t>
      </w:r>
    </w:p>
    <w:p w14:paraId="6FDB2CB7">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2.2 项目负责人具备</w:t>
      </w:r>
      <w:r>
        <w:rPr>
          <w:rFonts w:hint="eastAsia" w:asciiTheme="minorEastAsia" w:hAnsiTheme="minorEastAsia" w:eastAsiaTheme="minorEastAsia" w:cstheme="minorEastAsia"/>
          <w:b/>
          <w:bCs/>
          <w:color w:val="auto"/>
          <w:szCs w:val="21"/>
          <w:highlight w:val="none"/>
          <w:lang w:eastAsia="zh-CN"/>
        </w:rPr>
        <w:t>建设行政主管部门颁发的建筑工程专业贰级及以上</w:t>
      </w:r>
      <w:r>
        <w:rPr>
          <w:rFonts w:hint="eastAsia" w:asciiTheme="minorEastAsia" w:hAnsiTheme="minorEastAsia" w:eastAsiaTheme="minorEastAsia" w:cstheme="minorEastAsia"/>
          <w:color w:val="auto"/>
          <w:szCs w:val="21"/>
          <w:highlight w:val="none"/>
          <w:lang w:val="en-US" w:eastAsia="zh-CN"/>
        </w:rPr>
        <w:t>注册建造师执业资格；</w:t>
      </w:r>
      <w:r>
        <w:rPr>
          <w:rFonts w:hint="eastAsia" w:asciiTheme="minorEastAsia" w:hAnsiTheme="minorEastAsia" w:eastAsiaTheme="minorEastAsia" w:cstheme="minorEastAsia"/>
          <w:b/>
          <w:bCs/>
          <w:color w:val="auto"/>
          <w:szCs w:val="21"/>
          <w:highlight w:val="none"/>
          <w:lang w:eastAsia="zh-CN"/>
        </w:rPr>
        <w:t>同时具有有效期内的项目负责人B类安全生产考核合格证，</w:t>
      </w:r>
      <w:r>
        <w:rPr>
          <w:rFonts w:hint="eastAsia" w:asciiTheme="minorEastAsia" w:hAnsiTheme="minorEastAsia" w:eastAsiaTheme="minorEastAsia" w:cstheme="minorEastAsia"/>
          <w:b w:val="0"/>
          <w:bCs w:val="0"/>
          <w:color w:val="auto"/>
          <w:szCs w:val="21"/>
          <w:highlight w:val="none"/>
          <w:lang w:eastAsia="zh-CN"/>
        </w:rPr>
        <w:t>证书上的单位名称必须与供应商名称一致；且项目负责人无在建，提供无在建的证明材料</w:t>
      </w:r>
      <w:r>
        <w:rPr>
          <w:rFonts w:hint="eastAsia" w:asciiTheme="minorEastAsia" w:hAnsiTheme="minorEastAsia" w:eastAsiaTheme="minorEastAsia" w:cstheme="minorEastAsia"/>
          <w:b/>
          <w:bCs/>
          <w:color w:val="auto"/>
          <w:szCs w:val="21"/>
          <w:highlight w:val="none"/>
          <w:lang w:eastAsia="zh-CN"/>
        </w:rPr>
        <w:t>（提供无在建承诺函或无在建查询网站截图）；</w:t>
      </w:r>
    </w:p>
    <w:p w14:paraId="36B7D030">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3、其它要求：</w:t>
      </w:r>
    </w:p>
    <w:p w14:paraId="4031D220">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3.1</w:t>
      </w:r>
      <w:r>
        <w:rPr>
          <w:rFonts w:hint="eastAsia" w:asciiTheme="minorEastAsia" w:hAnsiTheme="minorEastAsia" w:eastAsiaTheme="minorEastAsia" w:cstheme="minorEastAsia"/>
          <w:b/>
          <w:bCs/>
          <w:color w:val="auto"/>
          <w:szCs w:val="21"/>
          <w:highlight w:val="none"/>
          <w:lang w:val="en-US" w:eastAsia="zh-CN"/>
        </w:rPr>
        <w:t>本项目专门面向中小企业采购</w:t>
      </w:r>
      <w:r>
        <w:rPr>
          <w:rFonts w:hint="eastAsia" w:asciiTheme="minorEastAsia" w:hAnsiTheme="minorEastAsia" w:eastAsiaTheme="minorEastAsia" w:cstheme="minorEastAsia"/>
          <w:color w:val="auto"/>
          <w:szCs w:val="21"/>
          <w:highlight w:val="none"/>
          <w:lang w:val="en-US" w:eastAsia="zh-CN"/>
        </w:rPr>
        <w:t>（监狱企业、残疾人福利单位视同小型、微型企业)。</w:t>
      </w:r>
    </w:p>
    <w:p w14:paraId="2391F107">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注：中小企业在投标文件中须提供《中小企业声明函》(见投标文件格式》。本项目对应中小企业划分标准所属行业为：</w:t>
      </w:r>
      <w:r>
        <w:rPr>
          <w:rFonts w:hint="eastAsia" w:asciiTheme="minorEastAsia" w:hAnsiTheme="minorEastAsia" w:eastAsiaTheme="minorEastAsia" w:cstheme="minorEastAsia"/>
          <w:b/>
          <w:bCs/>
          <w:color w:val="auto"/>
          <w:szCs w:val="21"/>
          <w:highlight w:val="none"/>
          <w:lang w:val="en-US" w:eastAsia="zh-CN"/>
        </w:rPr>
        <w:t>建筑业</w:t>
      </w:r>
      <w:r>
        <w:rPr>
          <w:rFonts w:hint="eastAsia" w:asciiTheme="minorEastAsia" w:hAnsiTheme="minorEastAsia" w:eastAsiaTheme="minorEastAsia" w:cstheme="minorEastAsia"/>
          <w:color w:val="auto"/>
          <w:szCs w:val="21"/>
          <w:highlight w:val="none"/>
          <w:lang w:val="en-US" w:eastAsia="zh-CN"/>
        </w:rPr>
        <w:t>(中小企业划型标准符合工信部联企业 (2011) 300 号文)。</w:t>
      </w:r>
    </w:p>
    <w:p w14:paraId="3218F5DF">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3.2根据《湖南省财政厅关于政府采购促进中小企业发展有关措施的通知》(湘财购[2022]17号)相关规定，符合法定条件的供应商凭《湖南省政府采购供应商资格承诺函》(格式见附件)参与政府采购活动，也可通过在金融机构办理电子增信取得对应信用星级参与政府采购活动和电子卖场交易，无需提供财务状况、缴纳税收和社会保障资金等资格证明材料。</w:t>
      </w:r>
    </w:p>
    <w:p w14:paraId="3141A2A7">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lang w:val="en-US" w:eastAsia="zh-CN"/>
        </w:rPr>
        <w:t>4</w:t>
      </w:r>
      <w:r>
        <w:rPr>
          <w:rFonts w:hint="eastAsia" w:asciiTheme="minorEastAsia" w:hAnsiTheme="minorEastAsia" w:eastAsiaTheme="minorEastAsia" w:cstheme="minorEastAsia"/>
          <w:color w:val="auto"/>
          <w:szCs w:val="21"/>
          <w:highlight w:val="none"/>
        </w:rPr>
        <w:t>、单位负责人为同一人或者存在直接控股、管理关系的不同投标人，不得参加同一合同项下的政府采购活动。</w:t>
      </w:r>
    </w:p>
    <w:p w14:paraId="710ABACE">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lang w:val="en-US" w:eastAsia="zh-CN"/>
        </w:rPr>
        <w:t>5</w:t>
      </w:r>
      <w:r>
        <w:rPr>
          <w:rFonts w:hint="eastAsia" w:asciiTheme="minorEastAsia" w:hAnsiTheme="minorEastAsia" w:eastAsiaTheme="minorEastAsia" w:cstheme="minorEastAsia"/>
          <w:color w:val="auto"/>
          <w:szCs w:val="21"/>
          <w:highlight w:val="none"/>
        </w:rPr>
        <w:t>、为本采购项目提供整体设计、规范编制或者项目管理、</w:t>
      </w:r>
      <w:r>
        <w:rPr>
          <w:rFonts w:hint="eastAsia" w:asciiTheme="minorEastAsia" w:hAnsiTheme="minorEastAsia" w:eastAsiaTheme="minorEastAsia" w:cstheme="minorEastAsia"/>
          <w:color w:val="auto"/>
          <w:szCs w:val="21"/>
          <w:highlight w:val="none"/>
          <w:lang w:val="en-US" w:eastAsia="zh-CN"/>
        </w:rPr>
        <w:t>监理、</w:t>
      </w:r>
      <w:r>
        <w:rPr>
          <w:rFonts w:hint="eastAsia" w:asciiTheme="minorEastAsia" w:hAnsiTheme="minorEastAsia" w:eastAsiaTheme="minorEastAsia" w:cstheme="minorEastAsia"/>
          <w:color w:val="auto"/>
          <w:szCs w:val="21"/>
          <w:highlight w:val="none"/>
        </w:rPr>
        <w:t>检测等服务的，不得再参加此项目的其他招标采购活动。</w:t>
      </w:r>
    </w:p>
    <w:p w14:paraId="0FF3842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lang w:val="en-US" w:eastAsia="zh-CN"/>
        </w:rPr>
        <w:t>6</w:t>
      </w:r>
      <w:r>
        <w:rPr>
          <w:rFonts w:hint="eastAsia" w:asciiTheme="minorEastAsia" w:hAnsiTheme="minorEastAsia" w:eastAsiaTheme="minorEastAsia" w:cstheme="minorEastAsia"/>
          <w:color w:val="auto"/>
          <w:szCs w:val="21"/>
          <w:highlight w:val="none"/>
        </w:rPr>
        <w:t>、本次</w:t>
      </w:r>
      <w:r>
        <w:rPr>
          <w:rFonts w:hint="eastAsia" w:asciiTheme="minorEastAsia" w:hAnsiTheme="minorEastAsia" w:eastAsiaTheme="minorEastAsia" w:cstheme="minorEastAsia"/>
          <w:color w:val="auto"/>
          <w:szCs w:val="21"/>
          <w:highlight w:val="none"/>
          <w:lang w:val="en-US" w:eastAsia="zh-CN"/>
        </w:rPr>
        <w:t>采购不</w:t>
      </w:r>
      <w:r>
        <w:rPr>
          <w:rFonts w:hint="eastAsia" w:asciiTheme="minorEastAsia" w:hAnsiTheme="minorEastAsia" w:eastAsiaTheme="minorEastAsia" w:cstheme="minorEastAsia"/>
          <w:color w:val="auto"/>
          <w:szCs w:val="21"/>
          <w:highlight w:val="none"/>
        </w:rPr>
        <w:t>接受联合体投标。</w:t>
      </w:r>
    </w:p>
    <w:p w14:paraId="083504BA">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注：投标人具有实行了“三证合一”登记制度改革的新证，视同为持有工商营业执照、组织机构代码证和税务登记证；如办理了“五证合一”， 视同为持有工商营业执照、组织机构代码证和税务登记证，社保登记证，符合基本资格条件的相关条款。</w:t>
      </w:r>
    </w:p>
    <w:p w14:paraId="7AEB5B84">
      <w:pPr>
        <w:adjustRightInd w:val="0"/>
        <w:snapToGrid w:val="0"/>
        <w:spacing w:line="360" w:lineRule="auto"/>
        <w:outlineLvl w:val="0"/>
        <w:rPr>
          <w:rFonts w:hint="eastAsia" w:asciiTheme="minorEastAsia" w:hAnsiTheme="minorEastAsia" w:eastAsiaTheme="minorEastAsia" w:cstheme="minorEastAsia"/>
          <w:b/>
          <w:color w:val="auto"/>
          <w:szCs w:val="21"/>
          <w:highlight w:val="none"/>
        </w:rPr>
      </w:pPr>
      <w:r>
        <w:rPr>
          <w:rFonts w:hint="eastAsia" w:asciiTheme="minorEastAsia" w:hAnsiTheme="minorEastAsia" w:eastAsiaTheme="minorEastAsia" w:cstheme="minorEastAsia"/>
          <w:b/>
          <w:color w:val="auto"/>
          <w:szCs w:val="21"/>
        </w:rPr>
        <w:t>三、获取磋商文件的时间、地点、方式</w:t>
      </w:r>
    </w:p>
    <w:p w14:paraId="2C0AB2F2">
      <w:p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 xml:space="preserve">   1、凡有意参加磋商采购活动的，请于</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6</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22 </w:t>
      </w:r>
      <w:r>
        <w:rPr>
          <w:rFonts w:hint="eastAsia" w:asciiTheme="minorEastAsia" w:hAnsiTheme="minorEastAsia" w:eastAsiaTheme="minorEastAsia" w:cstheme="minorEastAsia"/>
          <w:color w:val="auto"/>
          <w:szCs w:val="21"/>
          <w:highlight w:val="none"/>
        </w:rPr>
        <w:t>日起至</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6</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29 </w:t>
      </w:r>
      <w:r>
        <w:rPr>
          <w:rFonts w:hint="eastAsia" w:asciiTheme="minorEastAsia" w:hAnsiTheme="minorEastAsia" w:eastAsiaTheme="minorEastAsia" w:cstheme="minorEastAsia"/>
          <w:color w:val="auto"/>
          <w:szCs w:val="21"/>
          <w:highlight w:val="none"/>
        </w:rPr>
        <w:t>日(节假日除外)，每日上午</w:t>
      </w:r>
      <w:r>
        <w:rPr>
          <w:rFonts w:hint="eastAsia" w:asciiTheme="minorEastAsia" w:hAnsiTheme="minorEastAsia" w:eastAsiaTheme="minorEastAsia" w:cstheme="minorEastAsia"/>
          <w:color w:val="auto"/>
          <w:szCs w:val="21"/>
          <w:highlight w:val="none"/>
          <w:u w:val="single"/>
          <w:lang w:val="en-US" w:eastAsia="zh-CN"/>
        </w:rPr>
        <w:t>0</w:t>
      </w:r>
      <w:r>
        <w:rPr>
          <w:rFonts w:hint="eastAsia" w:asciiTheme="minorEastAsia" w:hAnsiTheme="minorEastAsia" w:eastAsiaTheme="minorEastAsia" w:cstheme="minorEastAsia"/>
          <w:color w:val="auto"/>
          <w:highlight w:val="none"/>
          <w:u w:val="single"/>
        </w:rPr>
        <w:t>8:</w:t>
      </w:r>
      <w:r>
        <w:rPr>
          <w:rFonts w:hint="eastAsia" w:asciiTheme="minorEastAsia" w:hAnsiTheme="minorEastAsia" w:eastAsiaTheme="minorEastAsia" w:cstheme="minorEastAsia"/>
          <w:color w:val="auto"/>
          <w:highlight w:val="none"/>
          <w:u w:val="single"/>
          <w:lang w:val="en-US" w:eastAsia="zh-CN"/>
        </w:rPr>
        <w:t>3</w:t>
      </w:r>
      <w:r>
        <w:rPr>
          <w:rFonts w:hint="eastAsia" w:asciiTheme="minorEastAsia" w:hAnsiTheme="minorEastAsia" w:eastAsiaTheme="minorEastAsia" w:cstheme="minorEastAsia"/>
          <w:color w:val="auto"/>
          <w:highlight w:val="none"/>
          <w:u w:val="single"/>
        </w:rPr>
        <w:t>0</w:t>
      </w:r>
      <w:r>
        <w:rPr>
          <w:rFonts w:hint="eastAsia" w:asciiTheme="minorEastAsia" w:hAnsiTheme="minorEastAsia" w:eastAsiaTheme="minorEastAsia" w:cstheme="minorEastAsia"/>
          <w:color w:val="auto"/>
          <w:highlight w:val="none"/>
        </w:rPr>
        <w:t>～</w:t>
      </w:r>
      <w:r>
        <w:rPr>
          <w:rFonts w:hint="eastAsia" w:asciiTheme="minorEastAsia" w:hAnsiTheme="minorEastAsia" w:eastAsiaTheme="minorEastAsia" w:cstheme="minorEastAsia"/>
          <w:color w:val="auto"/>
          <w:highlight w:val="none"/>
          <w:u w:val="single"/>
        </w:rPr>
        <w:t>12:00</w:t>
      </w:r>
      <w:r>
        <w:rPr>
          <w:rFonts w:hint="eastAsia" w:asciiTheme="minorEastAsia" w:hAnsiTheme="minorEastAsia" w:eastAsiaTheme="minorEastAsia" w:cstheme="minorEastAsia"/>
          <w:color w:val="auto"/>
          <w:highlight w:val="none"/>
        </w:rPr>
        <w:t>，下午</w:t>
      </w:r>
      <w:r>
        <w:rPr>
          <w:rFonts w:hint="eastAsia" w:asciiTheme="minorEastAsia" w:hAnsiTheme="minorEastAsia" w:eastAsiaTheme="minorEastAsia" w:cstheme="minorEastAsia"/>
          <w:color w:val="auto"/>
          <w:highlight w:val="none"/>
          <w:u w:val="single"/>
        </w:rPr>
        <w:t>14:00</w:t>
      </w:r>
      <w:r>
        <w:rPr>
          <w:rFonts w:hint="eastAsia" w:asciiTheme="minorEastAsia" w:hAnsiTheme="minorEastAsia" w:eastAsiaTheme="minorEastAsia" w:cstheme="minorEastAsia"/>
          <w:color w:val="auto"/>
          <w:highlight w:val="none"/>
        </w:rPr>
        <w:t>～</w:t>
      </w:r>
      <w:r>
        <w:rPr>
          <w:rFonts w:hint="eastAsia" w:asciiTheme="minorEastAsia" w:hAnsiTheme="minorEastAsia" w:eastAsiaTheme="minorEastAsia" w:cstheme="minorEastAsia"/>
          <w:color w:val="auto"/>
          <w:highlight w:val="none"/>
          <w:u w:val="single"/>
        </w:rPr>
        <w:t>17:00</w:t>
      </w:r>
      <w:r>
        <w:rPr>
          <w:rFonts w:hint="eastAsia" w:asciiTheme="minorEastAsia" w:hAnsiTheme="minorEastAsia" w:eastAsiaTheme="minorEastAsia" w:cstheme="minorEastAsia"/>
          <w:color w:val="auto"/>
          <w:highlight w:val="none"/>
        </w:rPr>
        <w:t>(</w:t>
      </w:r>
      <w:r>
        <w:rPr>
          <w:rFonts w:hint="eastAsia" w:asciiTheme="minorEastAsia" w:hAnsiTheme="minorEastAsia" w:eastAsiaTheme="minorEastAsia" w:cstheme="minorEastAsia"/>
          <w:color w:val="auto"/>
          <w:szCs w:val="21"/>
          <w:highlight w:val="none"/>
        </w:rPr>
        <w:t>北京时间)，持①</w:t>
      </w:r>
      <w:r>
        <w:rPr>
          <w:rFonts w:hint="eastAsia" w:asciiTheme="minorEastAsia" w:hAnsiTheme="minorEastAsia" w:eastAsiaTheme="minorEastAsia" w:cstheme="minorEastAsia"/>
          <w:color w:val="auto"/>
          <w:szCs w:val="21"/>
          <w:highlight w:val="none"/>
          <w:lang w:eastAsia="zh-CN"/>
        </w:rPr>
        <w:t>营业执照复印件</w:t>
      </w:r>
      <w:r>
        <w:rPr>
          <w:rFonts w:hint="eastAsia" w:asciiTheme="minorEastAsia" w:hAnsiTheme="minorEastAsia" w:eastAsiaTheme="minorEastAsia" w:cstheme="minorEastAsia"/>
          <w:color w:val="auto"/>
          <w:szCs w:val="21"/>
          <w:highlight w:val="none"/>
        </w:rPr>
        <w:t>、②法定代表人身份证明或者授权委托书(并附法定代表人身份证明)、③个人身份证到</w:t>
      </w:r>
      <w:r>
        <w:rPr>
          <w:rFonts w:hint="eastAsia" w:asciiTheme="minorEastAsia" w:hAnsiTheme="minorEastAsia" w:eastAsiaTheme="minorEastAsia" w:cstheme="minorEastAsia"/>
          <w:color w:val="auto"/>
          <w:szCs w:val="21"/>
          <w:highlight w:val="none"/>
          <w:u w:val="single"/>
        </w:rPr>
        <w:t xml:space="preserve"> </w:t>
      </w:r>
      <w:r>
        <w:rPr>
          <w:rFonts w:hint="eastAsia" w:asciiTheme="minorEastAsia" w:hAnsiTheme="minorEastAsia" w:eastAsiaTheme="minorEastAsia" w:cstheme="minorEastAsia"/>
          <w:color w:val="auto"/>
          <w:szCs w:val="21"/>
          <w:highlight w:val="none"/>
          <w:u w:val="single"/>
          <w:lang w:eastAsia="zh-CN"/>
        </w:rPr>
        <w:t>天鉴国际工程管理有限公司</w:t>
      </w:r>
      <w:r>
        <w:rPr>
          <w:rFonts w:hint="eastAsia" w:asciiTheme="minorEastAsia" w:hAnsiTheme="minorEastAsia" w:eastAsiaTheme="minorEastAsia" w:cstheme="minorEastAsia"/>
          <w:color w:val="auto"/>
          <w:szCs w:val="21"/>
          <w:highlight w:val="none"/>
          <w:u w:val="single"/>
        </w:rPr>
        <w:t>（详细地址：</w:t>
      </w:r>
      <w:r>
        <w:rPr>
          <w:rFonts w:hint="eastAsia" w:asciiTheme="minorEastAsia" w:hAnsiTheme="minorEastAsia" w:eastAsiaTheme="minorEastAsia" w:cstheme="minorEastAsia"/>
          <w:color w:val="auto"/>
          <w:szCs w:val="21"/>
          <w:highlight w:val="none"/>
          <w:u w:val="single"/>
          <w:lang w:eastAsia="zh-CN"/>
        </w:rPr>
        <w:t>湖南省长沙市雨花区金海路128号天鉴大厦4楼40</w:t>
      </w:r>
      <w:r>
        <w:rPr>
          <w:rFonts w:hint="eastAsia" w:asciiTheme="minorEastAsia" w:hAnsiTheme="minorEastAsia" w:eastAsiaTheme="minorEastAsia" w:cstheme="minorEastAsia"/>
          <w:color w:val="auto"/>
          <w:szCs w:val="21"/>
          <w:highlight w:val="none"/>
          <w:u w:val="single"/>
          <w:lang w:val="en-US" w:eastAsia="zh-CN"/>
        </w:rPr>
        <w:t>1</w:t>
      </w:r>
      <w:r>
        <w:rPr>
          <w:rFonts w:hint="eastAsia" w:asciiTheme="minorEastAsia" w:hAnsiTheme="minorEastAsia" w:eastAsiaTheme="minorEastAsia" w:cstheme="minorEastAsia"/>
          <w:color w:val="auto"/>
          <w:szCs w:val="21"/>
          <w:highlight w:val="none"/>
          <w:u w:val="single"/>
          <w:lang w:eastAsia="zh-CN"/>
        </w:rPr>
        <w:t>室</w:t>
      </w:r>
      <w:r>
        <w:rPr>
          <w:rFonts w:hint="eastAsia" w:asciiTheme="minorEastAsia" w:hAnsiTheme="minorEastAsia" w:eastAsiaTheme="minorEastAsia" w:cstheme="minorEastAsia"/>
          <w:color w:val="auto"/>
          <w:szCs w:val="21"/>
          <w:highlight w:val="none"/>
          <w:u w:val="single"/>
        </w:rPr>
        <w:t>）</w:t>
      </w:r>
      <w:r>
        <w:rPr>
          <w:rFonts w:hint="eastAsia" w:asciiTheme="minorEastAsia" w:hAnsiTheme="minorEastAsia" w:eastAsiaTheme="minorEastAsia" w:cstheme="minorEastAsia"/>
          <w:color w:val="auto"/>
          <w:szCs w:val="21"/>
          <w:highlight w:val="none"/>
          <w:lang w:val="en-US" w:eastAsia="zh-CN"/>
        </w:rPr>
        <w:t>获取</w:t>
      </w:r>
      <w:r>
        <w:rPr>
          <w:rFonts w:hint="eastAsia" w:asciiTheme="minorEastAsia" w:hAnsiTheme="minorEastAsia" w:eastAsiaTheme="minorEastAsia" w:cstheme="minorEastAsia"/>
          <w:color w:val="auto"/>
          <w:szCs w:val="21"/>
          <w:highlight w:val="none"/>
        </w:rPr>
        <w:t>磋商文件。</w:t>
      </w:r>
      <w:r>
        <w:rPr>
          <w:rFonts w:hint="eastAsia" w:asciiTheme="minorEastAsia" w:hAnsiTheme="minorEastAsia" w:eastAsiaTheme="minorEastAsia" w:cstheme="minorEastAsia"/>
          <w:color w:val="auto"/>
          <w:szCs w:val="21"/>
          <w:highlight w:val="none"/>
          <w:lang w:val="en-US" w:eastAsia="zh-CN"/>
        </w:rPr>
        <w:t>磋商</w:t>
      </w:r>
      <w:r>
        <w:rPr>
          <w:rFonts w:hint="eastAsia" w:asciiTheme="minorEastAsia" w:hAnsiTheme="minorEastAsia" w:eastAsiaTheme="minorEastAsia" w:cstheme="minorEastAsia"/>
          <w:color w:val="auto"/>
          <w:szCs w:val="21"/>
          <w:highlight w:val="none"/>
        </w:rPr>
        <w:t>文件每套售价人民币 400 元，售后不退。可选择现金、金融机构</w:t>
      </w:r>
      <w:r>
        <w:rPr>
          <w:rFonts w:hint="eastAsia" w:asciiTheme="minorEastAsia" w:hAnsiTheme="minorEastAsia" w:eastAsiaTheme="minorEastAsia" w:cstheme="minorEastAsia"/>
          <w:color w:val="auto"/>
          <w:szCs w:val="21"/>
          <w:highlight w:val="none"/>
          <w:lang w:val="en-US" w:eastAsia="zh-CN"/>
        </w:rPr>
        <w:t>转账</w:t>
      </w:r>
      <w:r>
        <w:rPr>
          <w:rFonts w:hint="eastAsia" w:asciiTheme="minorEastAsia" w:hAnsiTheme="minorEastAsia" w:eastAsiaTheme="minorEastAsia" w:cstheme="minorEastAsia"/>
          <w:color w:val="auto"/>
          <w:szCs w:val="21"/>
          <w:highlight w:val="none"/>
        </w:rPr>
        <w:t>方式购买招标文件，发票可当场领取或在开标时领取。</w:t>
      </w:r>
    </w:p>
    <w:p w14:paraId="22C6E0DF">
      <w:pPr>
        <w:adjustRightInd w:val="0"/>
        <w:snapToGrid w:val="0"/>
        <w:spacing w:line="360" w:lineRule="auto"/>
        <w:outlineLvl w:val="0"/>
        <w:rPr>
          <w:rFonts w:hint="eastAsia" w:asciiTheme="minorEastAsia" w:hAnsiTheme="minorEastAsia" w:eastAsiaTheme="minorEastAsia" w:cstheme="minorEastAsia"/>
          <w:b/>
          <w:color w:val="auto"/>
          <w:szCs w:val="21"/>
          <w:highlight w:val="none"/>
        </w:rPr>
      </w:pPr>
      <w:r>
        <w:rPr>
          <w:rFonts w:hint="eastAsia" w:asciiTheme="minorEastAsia" w:hAnsiTheme="minorEastAsia" w:eastAsiaTheme="minorEastAsia" w:cstheme="minorEastAsia"/>
          <w:b/>
          <w:color w:val="auto"/>
          <w:szCs w:val="21"/>
          <w:highlight w:val="none"/>
        </w:rPr>
        <w:t>四、响应文件提交的截止时间、开启时间及地点</w:t>
      </w:r>
    </w:p>
    <w:p w14:paraId="5FBAB973">
      <w:p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1、提交投标文件的截止时间：</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7 </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3 </w:t>
      </w:r>
      <w:r>
        <w:rPr>
          <w:rFonts w:hint="eastAsia" w:asciiTheme="minorEastAsia" w:hAnsiTheme="minorEastAsia" w:eastAsiaTheme="minorEastAsia" w:cstheme="minorEastAsia"/>
          <w:color w:val="auto"/>
          <w:szCs w:val="21"/>
          <w:highlight w:val="none"/>
        </w:rPr>
        <w:t>日</w:t>
      </w:r>
      <w:r>
        <w:rPr>
          <w:rFonts w:hint="eastAsia" w:asciiTheme="minorEastAsia" w:hAnsiTheme="minorEastAsia" w:eastAsiaTheme="minorEastAsia" w:cstheme="minorEastAsia"/>
          <w:color w:val="auto"/>
          <w:szCs w:val="21"/>
          <w:highlight w:val="none"/>
          <w:u w:val="single"/>
          <w:lang w:val="en-US" w:eastAsia="zh-CN"/>
        </w:rPr>
        <w:t>14</w:t>
      </w:r>
      <w:r>
        <w:rPr>
          <w:rFonts w:hint="eastAsia" w:asciiTheme="minorEastAsia" w:hAnsiTheme="minorEastAsia" w:eastAsiaTheme="minorEastAsia" w:cstheme="minorEastAsia"/>
          <w:color w:val="auto"/>
          <w:szCs w:val="21"/>
          <w:highlight w:val="none"/>
        </w:rPr>
        <w:t>时</w:t>
      </w:r>
      <w:r>
        <w:rPr>
          <w:rFonts w:hint="eastAsia" w:asciiTheme="minorEastAsia" w:hAnsiTheme="minorEastAsia" w:eastAsiaTheme="minorEastAsia" w:cstheme="minorEastAsia"/>
          <w:color w:val="auto"/>
          <w:szCs w:val="21"/>
          <w:highlight w:val="none"/>
          <w:u w:val="single"/>
          <w:lang w:val="en-US" w:eastAsia="zh-CN"/>
        </w:rPr>
        <w:t>30</w:t>
      </w:r>
      <w:r>
        <w:rPr>
          <w:rFonts w:hint="eastAsia" w:asciiTheme="minorEastAsia" w:hAnsiTheme="minorEastAsia" w:eastAsiaTheme="minorEastAsia" w:cstheme="minorEastAsia"/>
          <w:color w:val="auto"/>
          <w:szCs w:val="21"/>
          <w:highlight w:val="none"/>
        </w:rPr>
        <w:t>分（北京时间）。</w:t>
      </w:r>
    </w:p>
    <w:p w14:paraId="2DAA3291">
      <w:p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2、开标时间：</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7 </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3 </w:t>
      </w:r>
      <w:r>
        <w:rPr>
          <w:rFonts w:hint="eastAsia" w:asciiTheme="minorEastAsia" w:hAnsiTheme="minorEastAsia" w:eastAsiaTheme="minorEastAsia" w:cstheme="minorEastAsia"/>
          <w:color w:val="auto"/>
          <w:szCs w:val="21"/>
          <w:highlight w:val="none"/>
        </w:rPr>
        <w:t>日</w:t>
      </w:r>
      <w:r>
        <w:rPr>
          <w:rFonts w:hint="eastAsia" w:asciiTheme="minorEastAsia" w:hAnsiTheme="minorEastAsia" w:eastAsiaTheme="minorEastAsia" w:cstheme="minorEastAsia"/>
          <w:color w:val="auto"/>
          <w:szCs w:val="21"/>
          <w:highlight w:val="none"/>
          <w:u w:val="single"/>
          <w:lang w:val="en-US" w:eastAsia="zh-CN"/>
        </w:rPr>
        <w:t>14</w:t>
      </w:r>
      <w:r>
        <w:rPr>
          <w:rFonts w:hint="eastAsia" w:asciiTheme="minorEastAsia" w:hAnsiTheme="minorEastAsia" w:eastAsiaTheme="minorEastAsia" w:cstheme="minorEastAsia"/>
          <w:color w:val="auto"/>
          <w:szCs w:val="21"/>
          <w:highlight w:val="none"/>
        </w:rPr>
        <w:t>时</w:t>
      </w:r>
      <w:r>
        <w:rPr>
          <w:rFonts w:hint="eastAsia" w:asciiTheme="minorEastAsia" w:hAnsiTheme="minorEastAsia" w:eastAsiaTheme="minorEastAsia" w:cstheme="minorEastAsia"/>
          <w:color w:val="auto"/>
          <w:szCs w:val="21"/>
          <w:highlight w:val="none"/>
          <w:u w:val="single"/>
          <w:lang w:val="en-US" w:eastAsia="zh-CN"/>
        </w:rPr>
        <w:t>30</w:t>
      </w:r>
      <w:r>
        <w:rPr>
          <w:rFonts w:hint="eastAsia" w:asciiTheme="minorEastAsia" w:hAnsiTheme="minorEastAsia" w:eastAsiaTheme="minorEastAsia" w:cstheme="minorEastAsia"/>
          <w:color w:val="auto"/>
          <w:szCs w:val="21"/>
          <w:highlight w:val="none"/>
        </w:rPr>
        <w:t>分（北京时间）。</w:t>
      </w:r>
    </w:p>
    <w:p w14:paraId="0D7F5941">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3、开标地点：天鉴国际工程管理有限公司（长沙市雨花区金海路128号天鉴大厦）6楼会议室。</w:t>
      </w:r>
    </w:p>
    <w:p w14:paraId="1E01E57D">
      <w:pPr>
        <w:adjustRightInd w:val="0"/>
        <w:snapToGrid w:val="0"/>
        <w:spacing w:line="360" w:lineRule="auto"/>
        <w:outlineLvl w:val="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b/>
          <w:color w:val="auto"/>
          <w:szCs w:val="21"/>
        </w:rPr>
        <w:t>五、联系方式</w:t>
      </w:r>
    </w:p>
    <w:p w14:paraId="4AF6DEF5">
      <w:pPr>
        <w:adjustRightInd w:val="0"/>
        <w:snapToGrid w:val="0"/>
        <w:spacing w:line="360" w:lineRule="auto"/>
        <w:ind w:firstLine="420" w:firstLineChars="200"/>
        <w:rPr>
          <w:rFonts w:hint="eastAsia" w:asciiTheme="minorEastAsia" w:hAnsiTheme="minorEastAsia" w:eastAsiaTheme="minorEastAsia" w:cstheme="minorEastAsia"/>
          <w:color w:val="auto"/>
          <w:szCs w:val="21"/>
          <w:u w:val="single"/>
          <w:lang w:val="en-US" w:eastAsia="zh-CN"/>
        </w:rPr>
      </w:pPr>
      <w:r>
        <w:rPr>
          <w:rFonts w:hint="eastAsia" w:asciiTheme="minorEastAsia" w:hAnsiTheme="minorEastAsia" w:eastAsiaTheme="minorEastAsia" w:cstheme="minorEastAsia"/>
          <w:color w:val="auto"/>
          <w:szCs w:val="21"/>
        </w:rPr>
        <w:t>采购人：湖南</w:t>
      </w:r>
      <w:r>
        <w:rPr>
          <w:rFonts w:hint="eastAsia" w:asciiTheme="minorEastAsia" w:hAnsiTheme="minorEastAsia" w:eastAsiaTheme="minorEastAsia" w:cstheme="minorEastAsia"/>
          <w:color w:val="auto"/>
          <w:szCs w:val="21"/>
          <w:lang w:val="en-US" w:eastAsia="zh-CN"/>
        </w:rPr>
        <w:t>省工业贸易学校</w:t>
      </w:r>
    </w:p>
    <w:p w14:paraId="5AC74BB2">
      <w:pPr>
        <w:adjustRightInd w:val="0"/>
        <w:snapToGrid w:val="0"/>
        <w:spacing w:line="360" w:lineRule="auto"/>
        <w:ind w:left="1260" w:leftChars="200" w:hanging="840" w:hangingChars="400"/>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rPr>
        <w:t>地  址：</w:t>
      </w:r>
      <w:r>
        <w:rPr>
          <w:rFonts w:hint="eastAsia" w:asciiTheme="minorEastAsia" w:hAnsiTheme="minorEastAsia" w:eastAsiaTheme="minorEastAsia" w:cstheme="minorEastAsia"/>
          <w:color w:val="auto"/>
          <w:lang w:val="en-US" w:eastAsia="zh-CN"/>
        </w:rPr>
        <w:t>长沙市雨花区树木岭路57号</w:t>
      </w:r>
    </w:p>
    <w:p w14:paraId="613258FF">
      <w:pPr>
        <w:adjustRightInd w:val="0"/>
        <w:snapToGrid w:val="0"/>
        <w:spacing w:line="360" w:lineRule="auto"/>
        <w:ind w:left="1260" w:leftChars="200" w:hanging="840" w:hangingChars="400"/>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rPr>
        <w:t>联系人：</w:t>
      </w:r>
      <w:r>
        <w:rPr>
          <w:rFonts w:hint="eastAsia" w:asciiTheme="minorEastAsia" w:hAnsiTheme="minorEastAsia" w:eastAsiaTheme="minorEastAsia" w:cstheme="minorEastAsia"/>
          <w:color w:val="auto"/>
          <w:lang w:val="en-US" w:eastAsia="zh-CN"/>
        </w:rPr>
        <w:t>夏老师</w:t>
      </w:r>
    </w:p>
    <w:p w14:paraId="3EC5E03D">
      <w:pPr>
        <w:adjustRightInd w:val="0"/>
        <w:snapToGrid w:val="0"/>
        <w:spacing w:line="360" w:lineRule="auto"/>
        <w:ind w:left="1260" w:leftChars="200" w:hanging="840" w:hangingChars="400"/>
        <w:rPr>
          <w:rFonts w:hint="eastAsia" w:asciiTheme="minorEastAsia" w:hAnsiTheme="minorEastAsia" w:eastAsiaTheme="minorEastAsia" w:cstheme="minorEastAsia"/>
          <w:color w:val="auto"/>
          <w:highlight w:val="none"/>
          <w:lang w:val="en-US" w:eastAsia="zh-CN"/>
        </w:rPr>
      </w:pPr>
      <w:r>
        <w:rPr>
          <w:rFonts w:hint="eastAsia" w:asciiTheme="minorEastAsia" w:hAnsiTheme="minorEastAsia" w:eastAsiaTheme="minorEastAsia" w:cstheme="minorEastAsia"/>
          <w:color w:val="auto"/>
          <w:highlight w:val="none"/>
        </w:rPr>
        <w:t>电  话：0731-85649021</w:t>
      </w:r>
    </w:p>
    <w:p w14:paraId="769DDE4A">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采购代理机构：天鉴国际工程管理有限公司</w:t>
      </w:r>
    </w:p>
    <w:p w14:paraId="17BC9E01">
      <w:pPr>
        <w:adjustRightInd w:val="0"/>
        <w:snapToGrid w:val="0"/>
        <w:spacing w:line="360" w:lineRule="auto"/>
        <w:ind w:firstLine="420" w:firstLineChars="200"/>
        <w:rPr>
          <w:rFonts w:hint="eastAsia" w:asciiTheme="minorEastAsia" w:hAnsiTheme="minorEastAsia" w:eastAsiaTheme="minorEastAsia" w:cstheme="minorEastAsia"/>
          <w:color w:val="auto"/>
          <w:szCs w:val="21"/>
          <w:lang w:eastAsia="zh-CN"/>
        </w:rPr>
      </w:pPr>
      <w:r>
        <w:rPr>
          <w:rFonts w:hint="eastAsia" w:asciiTheme="minorEastAsia" w:hAnsiTheme="minorEastAsia" w:eastAsiaTheme="minorEastAsia" w:cstheme="minorEastAsia"/>
          <w:color w:val="auto"/>
          <w:szCs w:val="21"/>
        </w:rPr>
        <w:t>地  址：长沙市雨花区金海路128号天鉴大厦</w:t>
      </w:r>
      <w:r>
        <w:rPr>
          <w:rFonts w:hint="eastAsia" w:asciiTheme="minorEastAsia" w:hAnsiTheme="minorEastAsia" w:eastAsiaTheme="minorEastAsia" w:cstheme="minorEastAsia"/>
          <w:color w:val="auto"/>
          <w:szCs w:val="21"/>
          <w:lang w:val="en-US" w:eastAsia="zh-CN"/>
        </w:rPr>
        <w:t xml:space="preserve"> </w:t>
      </w:r>
      <w:bookmarkStart w:id="0" w:name="_GoBack"/>
      <w:bookmarkEnd w:id="0"/>
    </w:p>
    <w:p w14:paraId="45B34D9B">
      <w:pPr>
        <w:adjustRightInd w:val="0"/>
        <w:snapToGrid w:val="0"/>
        <w:spacing w:line="360" w:lineRule="auto"/>
        <w:ind w:firstLine="420" w:firstLineChars="200"/>
        <w:rPr>
          <w:rFonts w:hint="eastAsia" w:asciiTheme="minorEastAsia" w:hAnsiTheme="minorEastAsia" w:eastAsiaTheme="minorEastAsia" w:cstheme="minorEastAsia"/>
          <w:color w:val="auto"/>
          <w:szCs w:val="21"/>
          <w:lang w:eastAsia="zh-CN"/>
        </w:rPr>
      </w:pPr>
      <w:r>
        <w:rPr>
          <w:rFonts w:hint="eastAsia" w:asciiTheme="minorEastAsia" w:hAnsiTheme="minorEastAsia" w:eastAsiaTheme="minorEastAsia" w:cstheme="minorEastAsia"/>
          <w:color w:val="auto"/>
          <w:szCs w:val="21"/>
        </w:rPr>
        <w:t>联系人：</w:t>
      </w:r>
      <w:r>
        <w:rPr>
          <w:rFonts w:hint="eastAsia" w:asciiTheme="minorEastAsia" w:hAnsiTheme="minorEastAsia" w:eastAsiaTheme="minorEastAsia" w:cstheme="minorEastAsia"/>
          <w:color w:val="auto"/>
          <w:szCs w:val="21"/>
          <w:lang w:val="en-US" w:eastAsia="zh-CN"/>
        </w:rPr>
        <w:t>徐龙</w:t>
      </w:r>
      <w:r>
        <w:rPr>
          <w:rFonts w:hint="eastAsia" w:asciiTheme="minorEastAsia" w:hAnsiTheme="minorEastAsia" w:eastAsiaTheme="minorEastAsia" w:cstheme="minorEastAsia"/>
          <w:color w:val="auto"/>
          <w:szCs w:val="21"/>
          <w:lang w:eastAsia="zh-CN"/>
        </w:rPr>
        <w:t>、唐文婷、李瑜、刘展</w:t>
      </w:r>
    </w:p>
    <w:p w14:paraId="59599B74">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电  话：0731-85713092-84</w:t>
      </w:r>
      <w:r>
        <w:rPr>
          <w:rFonts w:hint="eastAsia" w:asciiTheme="minorEastAsia" w:hAnsiTheme="minorEastAsia" w:eastAsiaTheme="minorEastAsia" w:cstheme="minorEastAsia"/>
          <w:color w:val="auto"/>
          <w:szCs w:val="21"/>
          <w:lang w:val="en-US" w:eastAsia="zh-CN"/>
        </w:rPr>
        <w:t>25</w:t>
      </w:r>
      <w:r>
        <w:rPr>
          <w:rFonts w:hint="eastAsia" w:asciiTheme="minorEastAsia" w:hAnsiTheme="minorEastAsia" w:eastAsiaTheme="minorEastAsia" w:cstheme="minorEastAsia"/>
          <w:color w:val="auto"/>
          <w:szCs w:val="21"/>
        </w:rPr>
        <w:t xml:space="preserve">   </w:t>
      </w:r>
    </w:p>
    <w:p w14:paraId="7962755B">
      <w:pPr>
        <w:adjustRightInd w:val="0"/>
        <w:snapToGrid w:val="0"/>
        <w:spacing w:line="360" w:lineRule="auto"/>
        <w:ind w:firstLine="420" w:firstLineChars="200"/>
        <w:rPr>
          <w:rFonts w:hint="eastAsia" w:asciiTheme="minorEastAsia" w:hAnsiTheme="minorEastAsia" w:eastAsiaTheme="minorEastAsia" w:cstheme="minorEastAsia"/>
          <w:color w:val="auto"/>
          <w:szCs w:val="21"/>
          <w:lang w:val="en-US" w:eastAsia="zh-CN"/>
        </w:rPr>
      </w:pPr>
      <w:r>
        <w:rPr>
          <w:rFonts w:hint="eastAsia" w:asciiTheme="minorEastAsia" w:hAnsiTheme="minorEastAsia" w:eastAsiaTheme="minorEastAsia" w:cstheme="minorEastAsia"/>
          <w:color w:val="auto"/>
          <w:szCs w:val="21"/>
        </w:rPr>
        <w:t>电子邮箱：</w:t>
      </w:r>
      <w:r>
        <w:rPr>
          <w:rFonts w:hint="eastAsia" w:asciiTheme="minorEastAsia" w:hAnsiTheme="minorEastAsia" w:eastAsiaTheme="minorEastAsia" w:cstheme="minorEastAsia"/>
          <w:color w:val="auto"/>
          <w:szCs w:val="21"/>
        </w:rPr>
        <w:fldChar w:fldCharType="begin"/>
      </w:r>
      <w:r>
        <w:rPr>
          <w:rFonts w:hint="eastAsia" w:asciiTheme="minorEastAsia" w:hAnsiTheme="minorEastAsia" w:eastAsiaTheme="minorEastAsia" w:cstheme="minorEastAsia"/>
          <w:color w:val="auto"/>
          <w:szCs w:val="21"/>
        </w:rPr>
        <w:instrText xml:space="preserve"> HYPERLINK "mailto:790986849@qq.co" </w:instrText>
      </w:r>
      <w:r>
        <w:rPr>
          <w:rFonts w:hint="eastAsia" w:asciiTheme="minorEastAsia" w:hAnsiTheme="minorEastAsia" w:eastAsiaTheme="minorEastAsia" w:cstheme="minorEastAsia"/>
          <w:color w:val="auto"/>
          <w:szCs w:val="21"/>
        </w:rPr>
        <w:fldChar w:fldCharType="separate"/>
      </w:r>
      <w:r>
        <w:rPr>
          <w:rFonts w:hint="eastAsia" w:asciiTheme="minorEastAsia" w:hAnsiTheme="minorEastAsia" w:eastAsiaTheme="minorEastAsia" w:cstheme="minorEastAsia"/>
          <w:color w:val="auto"/>
          <w:szCs w:val="21"/>
          <w:u w:val="none"/>
          <w:lang w:val="en-US" w:eastAsia="zh-CN"/>
        </w:rPr>
        <w:t>592220109</w:t>
      </w:r>
      <w:r>
        <w:rPr>
          <w:rFonts w:hint="eastAsia" w:asciiTheme="minorEastAsia" w:hAnsiTheme="minorEastAsia" w:eastAsiaTheme="minorEastAsia" w:cstheme="minorEastAsia"/>
          <w:color w:val="auto"/>
          <w:szCs w:val="21"/>
          <w:u w:val="none"/>
        </w:rPr>
        <w:t>@qq.co</w:t>
      </w:r>
      <w:r>
        <w:rPr>
          <w:rFonts w:hint="eastAsia" w:asciiTheme="minorEastAsia" w:hAnsiTheme="minorEastAsia" w:eastAsiaTheme="minorEastAsia" w:cstheme="minorEastAsia"/>
          <w:color w:val="auto"/>
          <w:szCs w:val="21"/>
        </w:rPr>
        <w:fldChar w:fldCharType="end"/>
      </w:r>
      <w:r>
        <w:rPr>
          <w:rFonts w:hint="eastAsia" w:asciiTheme="minorEastAsia" w:hAnsiTheme="minorEastAsia" w:eastAsiaTheme="minorEastAsia" w:cstheme="minorEastAsia"/>
          <w:color w:val="auto"/>
          <w:szCs w:val="21"/>
          <w:lang w:val="en-US" w:eastAsia="zh-CN"/>
        </w:rPr>
        <w:t>m</w:t>
      </w:r>
    </w:p>
    <w:p w14:paraId="18C2099C">
      <w:pPr>
        <w:adjustRightInd w:val="0"/>
        <w:snapToGrid w:val="0"/>
        <w:spacing w:line="360" w:lineRule="auto"/>
        <w:ind w:firstLine="420" w:firstLineChars="20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color w:val="auto"/>
        </w:rPr>
        <w:t>采购代理服务费汇至：</w:t>
      </w:r>
      <w:r>
        <w:rPr>
          <w:rFonts w:hint="eastAsia" w:asciiTheme="minorEastAsia" w:hAnsiTheme="minorEastAsia" w:eastAsiaTheme="minorEastAsia" w:cstheme="minorEastAsia"/>
          <w:bCs/>
          <w:color w:val="auto"/>
          <w:szCs w:val="21"/>
        </w:rPr>
        <w:t>天鉴国际工程管理有限公司</w:t>
      </w:r>
    </w:p>
    <w:p w14:paraId="73D9C54F">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开 户 行：</w:t>
      </w:r>
      <w:r>
        <w:rPr>
          <w:rFonts w:hint="eastAsia" w:asciiTheme="minorEastAsia" w:hAnsiTheme="minorEastAsia" w:eastAsiaTheme="minorEastAsia" w:cstheme="minorEastAsia"/>
          <w:color w:val="auto"/>
          <w:szCs w:val="21"/>
        </w:rPr>
        <w:t>招商银行长沙湘府支行</w:t>
      </w:r>
    </w:p>
    <w:p w14:paraId="6162646E">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银行帐号：731903134510866</w:t>
      </w:r>
    </w:p>
    <w:p w14:paraId="705A207F">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财务部联系人：易敏</w:t>
      </w:r>
    </w:p>
    <w:p w14:paraId="13A804FC">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财务电话：</w:t>
      </w:r>
      <w:r>
        <w:rPr>
          <w:rFonts w:hint="eastAsia" w:asciiTheme="minorEastAsia" w:hAnsiTheme="minorEastAsia" w:eastAsiaTheme="minorEastAsia" w:cstheme="minorEastAsia"/>
          <w:color w:val="auto"/>
          <w:kern w:val="0"/>
          <w:szCs w:val="21"/>
        </w:rPr>
        <w:t>0731-85235479-8518</w:t>
      </w:r>
    </w:p>
    <w:p w14:paraId="44AD7704">
      <w:pPr>
        <w:rPr>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2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F64B78"/>
    <w:rsid w:val="02F64B78"/>
    <w:rsid w:val="0A4D59E4"/>
    <w:rsid w:val="1B373F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Plain Text"/>
    <w:basedOn w:val="1"/>
    <w:next w:val="3"/>
    <w:qFormat/>
    <w:uiPriority w:val="0"/>
    <w:rPr>
      <w:rFonts w:ascii="宋体" w:hAnsi="Courier New" w:cs="Courier New"/>
      <w:szCs w:val="21"/>
    </w:rPr>
  </w:style>
  <w:style w:type="paragraph" w:customStyle="1" w:styleId="3">
    <w:name w:val="Default"/>
    <w:qFormat/>
    <w:uiPriority w:val="0"/>
    <w:pPr>
      <w:widowControl w:val="0"/>
      <w:autoSpaceDE w:val="0"/>
      <w:autoSpaceDN w:val="0"/>
      <w:adjustRightInd w:val="0"/>
    </w:pPr>
    <w:rPr>
      <w:rFonts w:ascii="黑体" w:hAnsi="Times New Roman" w:eastAsia="黑体" w:cs="Times New Roman"/>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1739</Words>
  <Characters>1929</Characters>
  <Lines>0</Lines>
  <Paragraphs>0</Paragraphs>
  <TotalTime>0</TotalTime>
  <ScaleCrop>false</ScaleCrop>
  <LinksUpToDate>false</LinksUpToDate>
  <CharactersWithSpaces>1974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2026-06-22T01:08:00Z</dcterms:created>
  <dc:creator>李红</dc:creator>
  <cp:lastModifiedBy>adim</cp:lastModifiedBy>
  <dcterms:modified xsi:type="dcterms:W3CDTF">2026-06-22T03:28:25Z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19367B09B19C4FCCAD5C1982E2841D24_11</vt:lpwstr>
  </property>
  <property fmtid="{D5CDD505-2E9C-101B-9397-08002B2CF9AE}" pid="4" name="KSOTemplateDocerSaveRecord">
    <vt:lpwstr>eyJoZGlkIjoiYzY5M2ZiYTM3OGJhNDA2YmY5NDcxNDVlZWI2MjY1YmQiLCJ1c2VySWQiOiIxMDc0OTM4MTY2In0=</vt:lpwstr>
  </property>
</Properties>
</file>